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9" w:rsidRPr="00D23D89" w:rsidRDefault="00D23D89" w:rsidP="00D23D89">
      <w:pPr>
        <w:spacing w:line="360" w:lineRule="auto"/>
        <w:rPr>
          <w:rFonts w:ascii="Times New Roman" w:hAnsi="Times New Roman" w:cs="Times New Roman"/>
          <w:b/>
          <w:lang w:val="hu-HU"/>
        </w:rPr>
      </w:pPr>
      <w:proofErr w:type="spellStart"/>
      <w:r w:rsidRPr="00D23D89">
        <w:rPr>
          <w:rFonts w:ascii="Times New Roman" w:hAnsi="Times New Roman" w:cs="Times New Roman"/>
          <w:b/>
          <w:lang w:val="hu-HU"/>
        </w:rPr>
        <w:t>Supplementary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figure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1. </w:t>
      </w:r>
      <w:proofErr w:type="spellStart"/>
      <w:r>
        <w:rPr>
          <w:rFonts w:ascii="Times New Roman" w:hAnsi="Times New Roman" w:cs="Times New Roman"/>
          <w:b/>
          <w:lang w:val="hu-HU"/>
        </w:rPr>
        <w:t>Concentration</w:t>
      </w:r>
      <w:proofErr w:type="spellEnd"/>
      <w:r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hu-HU"/>
        </w:rPr>
        <w:t>dependent</w:t>
      </w:r>
      <w:proofErr w:type="spellEnd"/>
      <w:r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hu-HU"/>
        </w:rPr>
        <w:t>s</w:t>
      </w:r>
      <w:r w:rsidRPr="00D23D89">
        <w:rPr>
          <w:rFonts w:ascii="Times New Roman" w:hAnsi="Times New Roman" w:cs="Times New Roman"/>
          <w:b/>
          <w:lang w:val="hu-HU"/>
        </w:rPr>
        <w:t>ensitivity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B</w:t>
      </w:r>
      <w:r>
        <w:rPr>
          <w:rFonts w:ascii="Times New Roman" w:hAnsi="Times New Roman" w:cs="Times New Roman"/>
          <w:b/>
          <w:lang w:val="hu-HU"/>
        </w:rPr>
        <w:t>ALB/c</w:t>
      </w:r>
      <w:r w:rsidRPr="00D23D89">
        <w:rPr>
          <w:rFonts w:ascii="Times New Roman" w:hAnsi="Times New Roman" w:cs="Times New Roman"/>
          <w:b/>
          <w:lang w:val="hu-HU"/>
        </w:rPr>
        <w:t xml:space="preserve"> (A) and CD1 (B)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mice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for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IHE3034 </w:t>
      </w:r>
      <w:r w:rsidRPr="00D23D89">
        <w:rPr>
          <w:rFonts w:ascii="Times New Roman" w:hAnsi="Times New Roman" w:cs="Times New Roman"/>
          <w:b/>
          <w:i/>
          <w:lang w:val="hu-HU"/>
        </w:rPr>
        <w:t xml:space="preserve">E. </w:t>
      </w:r>
      <w:proofErr w:type="gramStart"/>
      <w:r w:rsidRPr="00D23D89">
        <w:rPr>
          <w:rFonts w:ascii="Times New Roman" w:hAnsi="Times New Roman" w:cs="Times New Roman"/>
          <w:b/>
          <w:i/>
          <w:lang w:val="hu-HU"/>
        </w:rPr>
        <w:t>coli</w:t>
      </w:r>
      <w:proofErr w:type="gramEnd"/>
      <w:r w:rsidRPr="00D23D89">
        <w:rPr>
          <w:rFonts w:ascii="Times New Roman" w:hAnsi="Times New Roman" w:cs="Times New Roman"/>
          <w:b/>
          <w:lang w:val="hu-HU"/>
        </w:rPr>
        <w:t xml:space="preserve"> K1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meningitis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strain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on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a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time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D23D89">
        <w:rPr>
          <w:rFonts w:ascii="Times New Roman" w:hAnsi="Times New Roman" w:cs="Times New Roman"/>
          <w:b/>
          <w:lang w:val="hu-HU"/>
        </w:rPr>
        <w:t>scale</w:t>
      </w:r>
      <w:proofErr w:type="spellEnd"/>
      <w:r w:rsidRPr="00D23D89">
        <w:rPr>
          <w:rFonts w:ascii="Times New Roman" w:hAnsi="Times New Roman" w:cs="Times New Roman"/>
          <w:b/>
          <w:lang w:val="hu-HU"/>
        </w:rPr>
        <w:t xml:space="preserve">. </w:t>
      </w:r>
    </w:p>
    <w:p w:rsidR="00D23D89" w:rsidRPr="00D23D89" w:rsidRDefault="00D23D89" w:rsidP="00D23D89">
      <w:pPr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</w:rPr>
        <w:t xml:space="preserve">Ten-ten mice were intravenously injected with </w:t>
      </w:r>
      <w:r w:rsidRPr="00D23D89">
        <w:rPr>
          <w:rFonts w:ascii="Times New Roman" w:hAnsi="Times New Roman" w:cs="Times New Roman"/>
        </w:rPr>
        <w:t>100 µL</w:t>
      </w:r>
      <w:r>
        <w:rPr>
          <w:rFonts w:ascii="Times New Roman" w:hAnsi="Times New Roman" w:cs="Times New Roman"/>
        </w:rPr>
        <w:t xml:space="preserve"> doses of</w:t>
      </w:r>
      <w:r w:rsidRPr="00D23D89">
        <w:rPr>
          <w:rFonts w:ascii="Times New Roman" w:hAnsi="Times New Roman" w:cs="Times New Roman"/>
        </w:rPr>
        <w:t xml:space="preserve"> OD</w:t>
      </w:r>
      <w:r w:rsidRPr="00D23D89">
        <w:rPr>
          <w:rFonts w:ascii="Times New Roman" w:hAnsi="Times New Roman" w:cs="Times New Roman"/>
          <w:vertAlign w:val="subscript"/>
        </w:rPr>
        <w:t>600</w:t>
      </w:r>
      <w:r w:rsidRPr="00D23D89">
        <w:rPr>
          <w:rFonts w:ascii="Times New Roman" w:hAnsi="Times New Roman" w:cs="Times New Roman"/>
        </w:rPr>
        <w:t xml:space="preserve">=0.5 </w:t>
      </w:r>
      <w:r w:rsidRPr="00D23D89">
        <w:rPr>
          <w:rFonts w:ascii="Times New Roman" w:eastAsia="TimesNewRoman" w:hAnsi="Times New Roman" w:cs="Times New Roman"/>
          <w:lang w:val="hu-HU" w:eastAsia="hu-HU"/>
        </w:rPr>
        <w:t>(~1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8</w:t>
      </w:r>
      <w:r w:rsidRPr="00D23D89">
        <w:rPr>
          <w:rFonts w:ascii="Times New Roman" w:eastAsia="TimesNewRoman" w:hAnsi="Times New Roman" w:cs="Times New Roman"/>
          <w:lang w:val="hu-HU" w:eastAsia="hu-HU"/>
        </w:rPr>
        <w:t xml:space="preserve"> CFU mL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-1</w:t>
      </w:r>
      <w:r w:rsidRPr="00D23D89">
        <w:rPr>
          <w:rFonts w:ascii="Times New Roman" w:hAnsi="Times New Roman" w:cs="Times New Roman"/>
        </w:rPr>
        <w:t>);  OD</w:t>
      </w:r>
      <w:r w:rsidRPr="00D23D89">
        <w:rPr>
          <w:rFonts w:ascii="Times New Roman" w:hAnsi="Times New Roman" w:cs="Times New Roman"/>
          <w:vertAlign w:val="subscript"/>
        </w:rPr>
        <w:t>600</w:t>
      </w:r>
      <w:r w:rsidRPr="00D23D89">
        <w:rPr>
          <w:rFonts w:ascii="Times New Roman" w:hAnsi="Times New Roman" w:cs="Times New Roman"/>
        </w:rPr>
        <w:t xml:space="preserve">=1 </w:t>
      </w:r>
      <w:r w:rsidRPr="00D23D89">
        <w:rPr>
          <w:rFonts w:ascii="Times New Roman" w:eastAsia="TimesNewRoman" w:hAnsi="Times New Roman" w:cs="Times New Roman"/>
          <w:lang w:val="hu-HU" w:eastAsia="hu-HU"/>
        </w:rPr>
        <w:t>(~2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8</w:t>
      </w:r>
      <w:r w:rsidRPr="00D23D89">
        <w:rPr>
          <w:rFonts w:ascii="Times New Roman" w:eastAsia="TimesNewRoman" w:hAnsi="Times New Roman" w:cs="Times New Roman"/>
          <w:lang w:val="hu-HU" w:eastAsia="hu-HU"/>
        </w:rPr>
        <w:t xml:space="preserve"> CFU mL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-1</w:t>
      </w:r>
      <w:r w:rsidRPr="00D23D89">
        <w:rPr>
          <w:rFonts w:ascii="Times New Roman" w:hAnsi="Times New Roman" w:cs="Times New Roman"/>
        </w:rPr>
        <w:t>); OD</w:t>
      </w:r>
      <w:r w:rsidRPr="00D23D89">
        <w:rPr>
          <w:rFonts w:ascii="Times New Roman" w:hAnsi="Times New Roman" w:cs="Times New Roman"/>
          <w:vertAlign w:val="subscript"/>
        </w:rPr>
        <w:t>600</w:t>
      </w:r>
      <w:r w:rsidRPr="00D23D89">
        <w:rPr>
          <w:rFonts w:ascii="Times New Roman" w:hAnsi="Times New Roman" w:cs="Times New Roman"/>
        </w:rPr>
        <w:t xml:space="preserve">=5 </w:t>
      </w:r>
      <w:r w:rsidRPr="00D23D89">
        <w:rPr>
          <w:rFonts w:ascii="Times New Roman" w:eastAsia="TimesNewRoman" w:hAnsi="Times New Roman" w:cs="Times New Roman"/>
          <w:lang w:val="hu-HU" w:eastAsia="hu-HU"/>
        </w:rPr>
        <w:t>(~1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9</w:t>
      </w:r>
      <w:r w:rsidRPr="00D23D89">
        <w:rPr>
          <w:rFonts w:ascii="Times New Roman" w:eastAsia="TimesNewRoman" w:hAnsi="Times New Roman" w:cs="Times New Roman"/>
          <w:lang w:val="hu-HU" w:eastAsia="hu-HU"/>
        </w:rPr>
        <w:t xml:space="preserve"> CFU mL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-1</w:t>
      </w:r>
      <w:r w:rsidRPr="00D23D89">
        <w:rPr>
          <w:rFonts w:ascii="Times New Roman" w:hAnsi="Times New Roman" w:cs="Times New Roman"/>
        </w:rPr>
        <w:t>); and OD</w:t>
      </w:r>
      <w:r w:rsidRPr="00D23D89">
        <w:rPr>
          <w:rFonts w:ascii="Times New Roman" w:hAnsi="Times New Roman" w:cs="Times New Roman"/>
          <w:vertAlign w:val="subscript"/>
        </w:rPr>
        <w:t>600</w:t>
      </w:r>
      <w:r w:rsidRPr="00D23D89">
        <w:rPr>
          <w:rFonts w:ascii="Times New Roman" w:hAnsi="Times New Roman" w:cs="Times New Roman"/>
        </w:rPr>
        <w:t xml:space="preserve">=10 </w:t>
      </w:r>
      <w:r w:rsidRPr="00D23D89">
        <w:rPr>
          <w:rFonts w:ascii="Times New Roman" w:eastAsia="TimesNewRoman" w:hAnsi="Times New Roman" w:cs="Times New Roman"/>
          <w:lang w:val="hu-HU" w:eastAsia="hu-HU"/>
        </w:rPr>
        <w:t>(~2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9</w:t>
      </w:r>
      <w:r w:rsidRPr="00D23D89">
        <w:rPr>
          <w:rFonts w:ascii="Times New Roman" w:eastAsia="TimesNewRoman" w:hAnsi="Times New Roman" w:cs="Times New Roman"/>
          <w:lang w:val="hu-HU" w:eastAsia="hu-HU"/>
        </w:rPr>
        <w:t xml:space="preserve"> CFU mL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-1</w:t>
      </w:r>
      <w:r w:rsidRPr="00D23D8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bacterial suspensions getting</w:t>
      </w:r>
      <w:r w:rsidRPr="00D23D89">
        <w:rPr>
          <w:rFonts w:ascii="Times New Roman" w:hAnsi="Times New Roman" w:cs="Times New Roman"/>
        </w:rPr>
        <w:t xml:space="preserve"> a final amount of </w:t>
      </w:r>
      <w:r w:rsidRPr="00D23D89">
        <w:rPr>
          <w:rFonts w:ascii="Times New Roman" w:eastAsia="TimesNewRoman" w:hAnsi="Times New Roman" w:cs="Times New Roman"/>
          <w:lang w:val="hu-HU" w:eastAsia="hu-HU"/>
        </w:rPr>
        <w:t>~1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7</w:t>
      </w:r>
      <w:r w:rsidRPr="00D23D89">
        <w:rPr>
          <w:rFonts w:ascii="Times New Roman" w:hAnsi="Times New Roman" w:cs="Times New Roman"/>
        </w:rPr>
        <w:t xml:space="preserve">; </w:t>
      </w:r>
      <w:r w:rsidRPr="00D23D89">
        <w:rPr>
          <w:rFonts w:ascii="Times New Roman" w:eastAsia="TimesNewRoman" w:hAnsi="Times New Roman" w:cs="Times New Roman"/>
          <w:lang w:val="hu-HU" w:eastAsia="hu-HU"/>
        </w:rPr>
        <w:t>~2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7</w:t>
      </w:r>
      <w:r w:rsidRPr="00D23D89">
        <w:rPr>
          <w:rFonts w:ascii="Times New Roman" w:hAnsi="Times New Roman" w:cs="Times New Roman"/>
        </w:rPr>
        <w:t xml:space="preserve">; </w:t>
      </w:r>
      <w:r w:rsidRPr="00D23D89">
        <w:rPr>
          <w:rFonts w:ascii="Times New Roman" w:eastAsia="TimesNewRoman" w:hAnsi="Times New Roman" w:cs="Times New Roman"/>
          <w:lang w:val="hu-HU" w:eastAsia="hu-HU"/>
        </w:rPr>
        <w:t>~1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8</w:t>
      </w:r>
      <w:r w:rsidRPr="00D23D89">
        <w:rPr>
          <w:rFonts w:ascii="Times New Roman" w:hAnsi="Times New Roman" w:cs="Times New Roman"/>
        </w:rPr>
        <w:t xml:space="preserve">; and </w:t>
      </w:r>
      <w:r w:rsidRPr="00D23D89">
        <w:rPr>
          <w:rFonts w:ascii="Times New Roman" w:eastAsia="TimesNewRoman" w:hAnsi="Times New Roman" w:cs="Times New Roman"/>
          <w:lang w:val="hu-HU" w:eastAsia="hu-HU"/>
        </w:rPr>
        <w:t>~2 x 10</w:t>
      </w:r>
      <w:r w:rsidRPr="00D23D89">
        <w:rPr>
          <w:rFonts w:ascii="Times New Roman" w:eastAsia="TimesNewRoman" w:hAnsi="Times New Roman" w:cs="Times New Roman"/>
          <w:vertAlign w:val="superscript"/>
          <w:lang w:val="hu-HU" w:eastAsia="hu-HU"/>
        </w:rPr>
        <w:t>8</w:t>
      </w:r>
      <w:r w:rsidRPr="00D23D89">
        <w:rPr>
          <w:rFonts w:ascii="Times New Roman" w:hAnsi="Times New Roman" w:cs="Times New Roman"/>
        </w:rPr>
        <w:t xml:space="preserve"> bacterial cells, respectively. </w:t>
      </w:r>
      <w:r w:rsidR="00B418BC">
        <w:rPr>
          <w:rFonts w:ascii="Times New Roman" w:hAnsi="Times New Roman" w:cs="Times New Roman"/>
        </w:rPr>
        <w:t>Death rates are represented in both mice strains</w:t>
      </w:r>
      <w:r w:rsidRPr="00D23D89">
        <w:rPr>
          <w:rFonts w:ascii="Times New Roman" w:hAnsi="Times New Roman" w:cs="Times New Roman"/>
        </w:rPr>
        <w:t xml:space="preserve">.   </w:t>
      </w:r>
    </w:p>
    <w:p w:rsidR="00D23D89" w:rsidRPr="00D23D89" w:rsidRDefault="00D23D89" w:rsidP="00D23D89">
      <w:pPr>
        <w:spacing w:line="360" w:lineRule="auto"/>
        <w:rPr>
          <w:rFonts w:ascii="Times New Roman" w:hAnsi="Times New Roman" w:cs="Times New Roman"/>
          <w:lang w:val="hu-HU"/>
        </w:rPr>
      </w:pPr>
      <w:r w:rsidRPr="00D23D89">
        <w:rPr>
          <w:rFonts w:ascii="Times New Roman" w:hAnsi="Times New Roman" w:cs="Times New Roman"/>
          <w:b/>
          <w:lang w:val="hu-HU"/>
        </w:rPr>
        <w:t xml:space="preserve"> </w:t>
      </w:r>
    </w:p>
    <w:p w:rsidR="00D23D89" w:rsidRPr="00D23D89" w:rsidRDefault="00D23D89" w:rsidP="00D23D89">
      <w:pPr>
        <w:spacing w:line="360" w:lineRule="auto"/>
        <w:rPr>
          <w:rFonts w:ascii="Times New Roman" w:hAnsi="Times New Roman" w:cs="Times New Roman"/>
          <w:lang w:val="hu-HU"/>
        </w:rPr>
      </w:pPr>
    </w:p>
    <w:p w:rsidR="00D23D89" w:rsidRPr="00D23D89" w:rsidRDefault="00D23D89" w:rsidP="00D23D89">
      <w:pPr>
        <w:pStyle w:val="Listaszerbekezds"/>
        <w:numPr>
          <w:ilvl w:val="0"/>
          <w:numId w:val="1"/>
        </w:numPr>
        <w:tabs>
          <w:tab w:val="left" w:pos="1845"/>
        </w:tabs>
        <w:rPr>
          <w:rFonts w:ascii="Times New Roman" w:hAnsi="Times New Roman" w:cs="Times New Roman"/>
          <w:lang w:val="hu-HU"/>
        </w:rPr>
      </w:pPr>
      <w:r w:rsidRPr="00D23D89">
        <w:rPr>
          <w:noProof/>
          <w:lang w:val="hu-HU" w:eastAsia="hu-HU"/>
        </w:rPr>
        <w:drawing>
          <wp:inline distT="0" distB="0" distL="0" distR="0">
            <wp:extent cx="4029075" cy="312420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3D89" w:rsidRDefault="00D23D89" w:rsidP="00D23D89">
      <w:pPr>
        <w:tabs>
          <w:tab w:val="left" w:pos="1845"/>
        </w:tabs>
        <w:rPr>
          <w:rFonts w:ascii="Times New Roman" w:hAnsi="Times New Roman" w:cs="Times New Roman"/>
          <w:lang w:val="hu-HU"/>
        </w:rPr>
      </w:pPr>
    </w:p>
    <w:p w:rsidR="00E911D3" w:rsidRDefault="00D23D89" w:rsidP="00D23D89">
      <w:pPr>
        <w:pStyle w:val="Listaszerbekezds"/>
        <w:numPr>
          <w:ilvl w:val="0"/>
          <w:numId w:val="1"/>
        </w:numPr>
        <w:tabs>
          <w:tab w:val="left" w:pos="1845"/>
        </w:tabs>
        <w:rPr>
          <w:rFonts w:ascii="Times New Roman" w:hAnsi="Times New Roman" w:cs="Times New Roman"/>
          <w:lang w:val="hu-HU"/>
        </w:rPr>
      </w:pPr>
      <w:r w:rsidRPr="00D23D89">
        <w:rPr>
          <w:noProof/>
          <w:lang w:val="hu-HU" w:eastAsia="hu-HU"/>
        </w:rPr>
        <w:drawing>
          <wp:inline distT="0" distB="0" distL="0" distR="0">
            <wp:extent cx="4029075" cy="2847975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11D3" w:rsidRDefault="00E911D3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:rsidR="00E911D3" w:rsidRPr="00684E9F" w:rsidRDefault="00E911D3" w:rsidP="00E911D3">
      <w:pPr>
        <w:ind w:left="2552" w:hanging="2552"/>
        <w:rPr>
          <w:rFonts w:ascii="Times New Roman" w:hAnsi="Times New Roman" w:cs="Times New Roman"/>
          <w:lang w:val="hu-HU"/>
        </w:rPr>
      </w:pPr>
      <w:proofErr w:type="spellStart"/>
      <w:r w:rsidRPr="00965B38">
        <w:rPr>
          <w:rFonts w:ascii="Times New Roman" w:hAnsi="Times New Roman" w:cs="Times New Roman"/>
          <w:b/>
          <w:lang w:val="hu-HU"/>
        </w:rPr>
        <w:lastRenderedPageBreak/>
        <w:t>Supplementary</w:t>
      </w:r>
      <w:proofErr w:type="spellEnd"/>
      <w:r w:rsidRPr="00965B38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hu-HU"/>
        </w:rPr>
        <w:t>Table</w:t>
      </w:r>
      <w:proofErr w:type="spellEnd"/>
      <w:r w:rsidRPr="00965B38">
        <w:rPr>
          <w:rFonts w:ascii="Times New Roman" w:hAnsi="Times New Roman" w:cs="Times New Roman"/>
          <w:b/>
          <w:lang w:val="hu-HU"/>
        </w:rPr>
        <w:t xml:space="preserve"> 1.</w:t>
      </w:r>
      <w:r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hu-HU"/>
        </w:rPr>
        <w:t>Detection</w:t>
      </w:r>
      <w:proofErr w:type="spellEnd"/>
      <w:r>
        <w:rPr>
          <w:rFonts w:ascii="Times New Roman" w:hAnsi="Times New Roman" w:cs="Times New Roman"/>
          <w:b/>
          <w:lang w:val="hu-HU"/>
        </w:rPr>
        <w:t xml:space="preserve"> </w:t>
      </w:r>
      <w:r w:rsidRPr="00684E9F">
        <w:rPr>
          <w:rFonts w:ascii="Times New Roman" w:hAnsi="Times New Roman" w:cs="Times New Roman"/>
          <w:b/>
          <w:lang w:val="hu-HU"/>
        </w:rPr>
        <w:t xml:space="preserve">of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active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phages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in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the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survived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mice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two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weeks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after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bacterial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challenge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and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phage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684E9F">
        <w:rPr>
          <w:rFonts w:ascii="Times New Roman" w:hAnsi="Times New Roman" w:cs="Times New Roman"/>
          <w:b/>
          <w:lang w:val="hu-HU"/>
        </w:rPr>
        <w:t>rescue</w:t>
      </w:r>
      <w:proofErr w:type="spellEnd"/>
      <w:r w:rsidRPr="00684E9F">
        <w:rPr>
          <w:rFonts w:ascii="Times New Roman" w:hAnsi="Times New Roman" w:cs="Times New Roman"/>
          <w:b/>
          <w:lang w:val="hu-HU"/>
        </w:rPr>
        <w:t>.</w:t>
      </w:r>
      <w:r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Supplementary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Table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for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Figure</w:t>
      </w:r>
      <w:proofErr w:type="spellEnd"/>
      <w:r>
        <w:rPr>
          <w:rFonts w:ascii="Times New Roman" w:hAnsi="Times New Roman" w:cs="Times New Roman"/>
          <w:lang w:val="hu-HU"/>
        </w:rPr>
        <w:t xml:space="preserve"> 4.</w:t>
      </w:r>
    </w:p>
    <w:p w:rsidR="00E911D3" w:rsidRDefault="00E911D3" w:rsidP="00E911D3">
      <w:pPr>
        <w:rPr>
          <w:lang w:val="hu-HU"/>
        </w:rPr>
      </w:pPr>
    </w:p>
    <w:tbl>
      <w:tblPr>
        <w:tblW w:w="926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68"/>
        <w:gridCol w:w="708"/>
        <w:gridCol w:w="708"/>
        <w:gridCol w:w="708"/>
        <w:gridCol w:w="708"/>
        <w:gridCol w:w="708"/>
        <w:gridCol w:w="756"/>
        <w:gridCol w:w="708"/>
        <w:gridCol w:w="708"/>
        <w:gridCol w:w="708"/>
        <w:gridCol w:w="708"/>
        <w:gridCol w:w="708"/>
        <w:gridCol w:w="708"/>
      </w:tblGrid>
      <w:tr w:rsidR="00E911D3" w:rsidRPr="00965B38" w:rsidTr="00BB5413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proofErr w:type="spellStart"/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Brain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12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GPC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G10M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G1H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G2H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G3H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Spleen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12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GPC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6750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G10M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35000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17500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G1H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13750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G2H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G3H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proofErr w:type="spellStart"/>
            <w:r w:rsidRPr="00965B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u-HU" w:eastAsia="hu-HU"/>
              </w:rPr>
              <w:t>Blood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12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GPC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G10M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G1H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G2H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0</w:t>
            </w:r>
          </w:p>
        </w:tc>
      </w:tr>
      <w:tr w:rsidR="00E911D3" w:rsidRPr="00965B38" w:rsidTr="00BB5413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sz w:val="22"/>
                <w:szCs w:val="22"/>
                <w:lang w:val="hu-HU" w:eastAsia="hu-HU"/>
              </w:rPr>
              <w:t>G3H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D3" w:rsidRPr="00965B38" w:rsidRDefault="00E911D3" w:rsidP="00BB5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</w:pPr>
            <w:r w:rsidRPr="00965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hu-HU"/>
              </w:rPr>
              <w:t>-</w:t>
            </w:r>
          </w:p>
        </w:tc>
      </w:tr>
    </w:tbl>
    <w:p w:rsidR="00E911D3" w:rsidRDefault="00E911D3" w:rsidP="00E911D3">
      <w:pPr>
        <w:rPr>
          <w:lang w:val="hu-HU"/>
        </w:rPr>
      </w:pPr>
    </w:p>
    <w:p w:rsidR="00E911D3" w:rsidRDefault="00E911D3" w:rsidP="00E911D3">
      <w:pPr>
        <w:rPr>
          <w:lang w:val="hu-HU"/>
        </w:rPr>
      </w:pPr>
    </w:p>
    <w:p w:rsidR="00D23D89" w:rsidRPr="00D23D89" w:rsidRDefault="00D23D89" w:rsidP="00E911D3">
      <w:pPr>
        <w:pStyle w:val="Listaszerbekezds"/>
        <w:tabs>
          <w:tab w:val="left" w:pos="1845"/>
        </w:tabs>
        <w:ind w:left="644"/>
        <w:rPr>
          <w:rFonts w:ascii="Times New Roman" w:hAnsi="Times New Roman" w:cs="Times New Roman"/>
          <w:lang w:val="hu-HU"/>
        </w:rPr>
      </w:pPr>
    </w:p>
    <w:sectPr w:rsidR="00D23D89" w:rsidRPr="00D23D89" w:rsidSect="0079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3DB"/>
    <w:multiLevelType w:val="hybridMultilevel"/>
    <w:tmpl w:val="5842417C"/>
    <w:lvl w:ilvl="0" w:tplc="92C880C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D89"/>
    <w:rsid w:val="000C2C83"/>
    <w:rsid w:val="00476E54"/>
    <w:rsid w:val="00794F01"/>
    <w:rsid w:val="008D2156"/>
    <w:rsid w:val="00991EFE"/>
    <w:rsid w:val="009D7C28"/>
    <w:rsid w:val="00AE6F76"/>
    <w:rsid w:val="00B418BC"/>
    <w:rsid w:val="00C023A9"/>
    <w:rsid w:val="00D23D89"/>
    <w:rsid w:val="00E911D3"/>
    <w:rsid w:val="00EC588C"/>
    <w:rsid w:val="00F52577"/>
    <w:rsid w:val="00FD234A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C83"/>
  </w:style>
  <w:style w:type="paragraph" w:styleId="Cmsor1">
    <w:name w:val="heading 1"/>
    <w:basedOn w:val="Norml"/>
    <w:link w:val="Cmsor1Char"/>
    <w:uiPriority w:val="9"/>
    <w:qFormat/>
    <w:rsid w:val="000C2C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2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C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C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C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C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C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C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2C8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0C2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C2C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0C2C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2C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2C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2C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2C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2C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uiPriority w:val="22"/>
    <w:qFormat/>
    <w:rsid w:val="000C2C83"/>
    <w:rPr>
      <w:b/>
      <w:bCs/>
    </w:rPr>
  </w:style>
  <w:style w:type="character" w:styleId="Kiemels">
    <w:name w:val="Emphasis"/>
    <w:basedOn w:val="Bekezdsalapbettpusa"/>
    <w:uiPriority w:val="20"/>
    <w:qFormat/>
    <w:rsid w:val="000C2C83"/>
    <w:rPr>
      <w:i/>
      <w:iCs/>
    </w:rPr>
  </w:style>
  <w:style w:type="paragraph" w:styleId="Listaszerbekezds">
    <w:name w:val="List Paragraph"/>
    <w:basedOn w:val="Norml"/>
    <w:uiPriority w:val="34"/>
    <w:qFormat/>
    <w:rsid w:val="000C2C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D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GYURI1\_Gyuri2\_Dokumentumok%20Gyuri\Publik&#225;ci&#243;k%20Poszterek%20El&#337;ad%20K&#246;nyv\Cikk_A0%20Bacteriophage%20IHE\grafikon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GYURI1\_Gyuri2\_Dokumentumok%20Gyuri\Publik&#225;ci&#243;k%20Poszterek%20El&#337;ad%20K&#246;nyv\Cikk_A0%20Bacteriophage%20IHE\grafikon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view3D>
      <c:rAngAx val="1"/>
    </c:view3D>
    <c:plotArea>
      <c:layout>
        <c:manualLayout>
          <c:layoutTarget val="inner"/>
          <c:xMode val="edge"/>
          <c:yMode val="edge"/>
          <c:x val="0.12784701912260971"/>
          <c:y val="4.3733755841495484E-2"/>
          <c:w val="0.68938079615048165"/>
          <c:h val="0.84348842758291576"/>
        </c:manualLayout>
      </c:layout>
      <c:bar3DChart>
        <c:barDir val="col"/>
        <c:grouping val="standard"/>
        <c:ser>
          <c:idx val="0"/>
          <c:order val="0"/>
          <c:tx>
            <c:strRef>
              <c:f>'IHE3034 egér model'!$B$10</c:f>
              <c:strCache>
                <c:ptCount val="1"/>
                <c:pt idx="0">
                  <c:v>OD 10</c:v>
                </c:pt>
              </c:strCache>
            </c:strRef>
          </c:tx>
          <c:cat>
            <c:numRef>
              <c:f>'IHE3034 egér model'!$A$11:$A$16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model'!$B$11:$B$16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'IHE3034 egér model'!$C$10</c:f>
              <c:strCache>
                <c:ptCount val="1"/>
                <c:pt idx="0">
                  <c:v>OD 5</c:v>
                </c:pt>
              </c:strCache>
            </c:strRef>
          </c:tx>
          <c:cat>
            <c:numRef>
              <c:f>'IHE3034 egér model'!$A$11:$A$16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model'!$C$11:$C$16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'IHE3034 egér model'!$D$10</c:f>
              <c:strCache>
                <c:ptCount val="1"/>
                <c:pt idx="0">
                  <c:v>OD 1</c:v>
                </c:pt>
              </c:strCache>
            </c:strRef>
          </c:tx>
          <c:cat>
            <c:numRef>
              <c:f>'IHE3034 egér model'!$A$11:$A$16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model'!$D$11:$D$16</c:f>
              <c:numCache>
                <c:formatCode>General</c:formatCode>
                <c:ptCount val="6"/>
                <c:pt idx="0">
                  <c:v>10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'IHE3034 egér model'!$E$10</c:f>
              <c:strCache>
                <c:ptCount val="1"/>
                <c:pt idx="0">
                  <c:v>OD 0.5</c:v>
                </c:pt>
              </c:strCache>
            </c:strRef>
          </c:tx>
          <c:cat>
            <c:numRef>
              <c:f>'IHE3034 egér model'!$A$11:$A$16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model'!$E$11:$E$16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shape val="cylinder"/>
        <c:axId val="103777792"/>
        <c:axId val="103788928"/>
        <c:axId val="91785856"/>
      </c:bar3DChart>
      <c:catAx>
        <c:axId val="103777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 </a:t>
                </a:r>
                <a:r>
                  <a:rPr lang="hu-HU"/>
                  <a:t>hour</a:t>
                </a:r>
                <a:r>
                  <a:rPr lang="en-US"/>
                  <a:t>s</a:t>
                </a:r>
              </a:p>
            </c:rich>
          </c:tx>
          <c:layout>
            <c:manualLayout>
              <c:xMode val="edge"/>
              <c:yMode val="edge"/>
              <c:x val="0.33554773738389138"/>
              <c:y val="0.87621791178541708"/>
            </c:manualLayout>
          </c:layout>
        </c:title>
        <c:numFmt formatCode="General" sourceLinked="1"/>
        <c:tickLblPos val="nextTo"/>
        <c:crossAx val="103788928"/>
        <c:crosses val="autoZero"/>
        <c:auto val="1"/>
        <c:lblAlgn val="ctr"/>
        <c:lblOffset val="100"/>
      </c:catAx>
      <c:valAx>
        <c:axId val="103788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living / survived mice</a:t>
                </a:r>
              </a:p>
            </c:rich>
          </c:tx>
        </c:title>
        <c:numFmt formatCode="General" sourceLinked="1"/>
        <c:tickLblPos val="nextTo"/>
        <c:crossAx val="103777792"/>
        <c:crosses val="autoZero"/>
        <c:crossBetween val="between"/>
      </c:valAx>
      <c:serAx>
        <c:axId val="91785856"/>
        <c:scaling>
          <c:orientation val="minMax"/>
        </c:scaling>
        <c:axPos val="b"/>
        <c:tickLblPos val="nextTo"/>
        <c:crossAx val="103788928"/>
        <c:crosses val="autoZero"/>
        <c:tickLblSkip val="1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view3D>
      <c:rAngAx val="1"/>
    </c:view3D>
    <c:plotArea>
      <c:layout>
        <c:manualLayout>
          <c:layoutTarget val="inner"/>
          <c:xMode val="edge"/>
          <c:yMode val="edge"/>
          <c:x val="0.17309953277116988"/>
          <c:y val="4.9509563812884586E-2"/>
          <c:w val="0.63154322021804077"/>
          <c:h val="0.83877737690815479"/>
        </c:manualLayout>
      </c:layout>
      <c:bar3DChart>
        <c:barDir val="col"/>
        <c:grouping val="standard"/>
        <c:ser>
          <c:idx val="0"/>
          <c:order val="0"/>
          <c:tx>
            <c:strRef>
              <c:f>'IHE3034 egér model'!$B$24</c:f>
              <c:strCache>
                <c:ptCount val="1"/>
                <c:pt idx="0">
                  <c:v>OD 10</c:v>
                </c:pt>
              </c:strCache>
            </c:strRef>
          </c:tx>
          <c:cat>
            <c:numRef>
              <c:f>'IHE3034 egér model'!$A$25:$A$30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model'!$B$25:$B$30</c:f>
              <c:numCache>
                <c:formatCode>General</c:formatCode>
                <c:ptCount val="6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'IHE3034 egér model'!$C$24</c:f>
              <c:strCache>
                <c:ptCount val="1"/>
                <c:pt idx="0">
                  <c:v>OD 5</c:v>
                </c:pt>
              </c:strCache>
            </c:strRef>
          </c:tx>
          <c:cat>
            <c:numRef>
              <c:f>'IHE3034 egér model'!$A$25:$A$30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model'!$C$25:$C$30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'IHE3034 egér model'!$D$24</c:f>
              <c:strCache>
                <c:ptCount val="1"/>
                <c:pt idx="0">
                  <c:v>OD 1</c:v>
                </c:pt>
              </c:strCache>
            </c:strRef>
          </c:tx>
          <c:cat>
            <c:numRef>
              <c:f>'IHE3034 egér model'!$A$25:$A$30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model'!$D$25:$D$30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'IHE3034 egér model'!$E$24</c:f>
              <c:strCache>
                <c:ptCount val="1"/>
                <c:pt idx="0">
                  <c:v>OD 0.5</c:v>
                </c:pt>
              </c:strCache>
            </c:strRef>
          </c:tx>
          <c:cat>
            <c:numRef>
              <c:f>'IHE3034 egér model'!$A$25:$A$30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</c:numCache>
            </c:numRef>
          </c:cat>
          <c:val>
            <c:numRef>
              <c:f>'IHE3034 egér model'!$E$25:$E$30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hape val="cylinder"/>
        <c:axId val="104201216"/>
        <c:axId val="96330880"/>
        <c:axId val="98708992"/>
      </c:bar3DChart>
      <c:catAx>
        <c:axId val="104201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 </a:t>
                </a:r>
                <a:r>
                  <a:rPr lang="hu-HU"/>
                  <a:t>hour</a:t>
                </a:r>
                <a:r>
                  <a:rPr lang="en-US"/>
                  <a:t>s</a:t>
                </a:r>
              </a:p>
            </c:rich>
          </c:tx>
          <c:layout>
            <c:manualLayout>
              <c:xMode val="edge"/>
              <c:yMode val="edge"/>
              <c:x val="0.33834937299504309"/>
              <c:y val="0.88136237150958141"/>
            </c:manualLayout>
          </c:layout>
        </c:title>
        <c:numFmt formatCode="General" sourceLinked="1"/>
        <c:tickLblPos val="nextTo"/>
        <c:crossAx val="96330880"/>
        <c:crosses val="autoZero"/>
        <c:auto val="1"/>
        <c:lblAlgn val="ctr"/>
        <c:lblOffset val="100"/>
      </c:catAx>
      <c:valAx>
        <c:axId val="96330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living / survived mice</a:t>
                </a:r>
              </a:p>
            </c:rich>
          </c:tx>
        </c:title>
        <c:numFmt formatCode="General" sourceLinked="1"/>
        <c:tickLblPos val="nextTo"/>
        <c:crossAx val="104201216"/>
        <c:crosses val="autoZero"/>
        <c:crossBetween val="between"/>
        <c:majorUnit val="1"/>
      </c:valAx>
      <c:serAx>
        <c:axId val="98708992"/>
        <c:scaling>
          <c:orientation val="minMax"/>
        </c:scaling>
        <c:axPos val="b"/>
        <c:tickLblPos val="nextTo"/>
        <c:crossAx val="96330880"/>
        <c:crosses val="autoZero"/>
        <c:tickLblSkip val="1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2018-01-16T12:29:00Z</dcterms:created>
  <dcterms:modified xsi:type="dcterms:W3CDTF">2018-01-16T12:29:00Z</dcterms:modified>
</cp:coreProperties>
</file>