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7778" w14:textId="796C377E" w:rsidR="00B70A6B" w:rsidRPr="00D12A15" w:rsidRDefault="00B70A6B" w:rsidP="00B70A6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Supplementary Material Figure</w:t>
      </w:r>
      <w:r w:rsidRPr="00D12A15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1</w:t>
      </w:r>
      <w:r w:rsidRPr="00742CEB">
        <w:rPr>
          <w:rFonts w:ascii="Arial" w:hAnsi="Arial" w:cs="Arial"/>
          <w:b/>
          <w:szCs w:val="21"/>
        </w:rPr>
        <w:t>:</w:t>
      </w:r>
      <w:r w:rsidRPr="00742CEB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Concept of QALY</w:t>
      </w:r>
    </w:p>
    <w:p w14:paraId="6CB6A02D" w14:textId="352BD6D5" w:rsidR="00B70A6B" w:rsidRPr="00B70A6B" w:rsidRDefault="00B70A6B">
      <w:pPr>
        <w:widowControl/>
        <w:jc w:val="left"/>
        <w:rPr>
          <w:rFonts w:ascii="Arial" w:hAnsi="Arial" w:cs="Arial"/>
          <w:b/>
          <w:szCs w:val="21"/>
        </w:rPr>
      </w:pPr>
    </w:p>
    <w:p w14:paraId="77D6041A" w14:textId="2F45A378" w:rsidR="00B70A6B" w:rsidRDefault="00B70A6B">
      <w:pPr>
        <w:widowControl/>
        <w:jc w:val="left"/>
        <w:rPr>
          <w:rFonts w:ascii="Arial" w:hAnsi="Arial" w:cs="Arial"/>
          <w:b/>
          <w:szCs w:val="21"/>
        </w:rPr>
      </w:pPr>
      <w:r w:rsidRPr="00B70A6B">
        <w:rPr>
          <w:rFonts w:ascii="Arial" w:hAnsi="Arial" w:cs="Arial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3A1D" wp14:editId="2C5C64AA">
                <wp:simplePos x="0" y="0"/>
                <wp:positionH relativeFrom="column">
                  <wp:posOffset>0</wp:posOffset>
                </wp:positionH>
                <wp:positionV relativeFrom="paragraph">
                  <wp:posOffset>5426710</wp:posOffset>
                </wp:positionV>
                <wp:extent cx="5616575" cy="508000"/>
                <wp:effectExtent l="0" t="0" r="0" b="635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0ED9" w14:textId="77777777" w:rsidR="00B70A6B" w:rsidRDefault="00B70A6B" w:rsidP="00B70A6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明朝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(Source) Takura T. Examining the current state of PCI application in Japan: from the standpoint of medical economics. Coronary Intervention. 2011 Aug;7(5):32-8</w:t>
                            </w:r>
                          </w:p>
                        </w:txbxContent>
                      </wps:txbx>
                      <wps:bodyPr vert="horz" wrap="square" lIns="90000" tIns="45000" rIns="90000" bIns="4500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3A1D" id="Rectangle 5" o:spid="_x0000_s1026" style="position:absolute;margin-left:0;margin-top:427.3pt;width:442.2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" filled="f" stroked="f">
                <v:textbox inset="2.5mm,1.25mm,2.5mm,1.25mm">
                  <w:txbxContent>
                    <w:p w14:paraId="2D990ED9" w14:textId="77777777" w:rsidR="00B70A6B" w:rsidRDefault="00B70A6B" w:rsidP="00B70A6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明朝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(Source) Takura T. Examining the current state of PCI application in Japan: from the standpoint of medical economics. Coronary Intervention. 2011 Aug;7(5):32-8</w:t>
                      </w:r>
                    </w:p>
                  </w:txbxContent>
                </v:textbox>
              </v:rect>
            </w:pict>
          </mc:Fallback>
        </mc:AlternateContent>
      </w:r>
      <w:r w:rsidRPr="00B70A6B">
        <w:rPr>
          <w:rFonts w:ascii="Arial" w:hAnsi="Arial" w:cs="Arial"/>
          <w:b/>
          <w:noProof/>
          <w:szCs w:val="21"/>
        </w:rPr>
        <w:drawing>
          <wp:inline distT="0" distB="0" distL="0" distR="0" wp14:anchorId="521D33CF" wp14:editId="34D267BA">
            <wp:extent cx="7620000" cy="5314514"/>
            <wp:effectExtent l="0" t="0" r="0" b="63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87" cy="531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b/>
          <w:szCs w:val="21"/>
        </w:rPr>
        <w:br w:type="page"/>
      </w:r>
    </w:p>
    <w:p w14:paraId="1597922C" w14:textId="77777777" w:rsidR="00B70A6B" w:rsidRDefault="00B70A6B">
      <w:pPr>
        <w:widowControl/>
        <w:jc w:val="left"/>
        <w:rPr>
          <w:rFonts w:ascii="Arial" w:hAnsi="Arial" w:cs="Arial"/>
          <w:b/>
          <w:szCs w:val="21"/>
        </w:rPr>
      </w:pPr>
    </w:p>
    <w:p w14:paraId="14570DFF" w14:textId="3E199E2D" w:rsidR="00F97EC2" w:rsidRPr="00D12A15" w:rsidRDefault="008E663B" w:rsidP="00AE3E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Supplementary Material </w:t>
      </w:r>
      <w:r w:rsidR="00F97EC2" w:rsidRPr="00D12A15">
        <w:rPr>
          <w:rFonts w:ascii="Arial" w:hAnsi="Arial" w:cs="Arial"/>
          <w:b/>
          <w:szCs w:val="21"/>
        </w:rPr>
        <w:t xml:space="preserve">Table </w:t>
      </w:r>
      <w:r w:rsidR="00301A74">
        <w:rPr>
          <w:rFonts w:ascii="Arial" w:hAnsi="Arial" w:cs="Arial" w:hint="eastAsia"/>
          <w:b/>
          <w:szCs w:val="21"/>
        </w:rPr>
        <w:t>1</w:t>
      </w:r>
      <w:r w:rsidR="00E16EC1" w:rsidRPr="00742CEB">
        <w:rPr>
          <w:rFonts w:ascii="Arial" w:hAnsi="Arial" w:cs="Arial"/>
          <w:b/>
          <w:szCs w:val="21"/>
        </w:rPr>
        <w:t>:</w:t>
      </w:r>
      <w:r w:rsidR="00301A74" w:rsidRPr="00742CEB">
        <w:rPr>
          <w:rFonts w:ascii="Arial" w:hAnsi="Arial" w:cs="Arial" w:hint="eastAsia"/>
          <w:b/>
          <w:szCs w:val="21"/>
        </w:rPr>
        <w:t xml:space="preserve"> </w:t>
      </w:r>
      <w:r w:rsidR="007328C1" w:rsidRPr="00742CEB">
        <w:rPr>
          <w:rFonts w:ascii="Arial" w:hAnsi="Arial" w:cs="Arial" w:hint="eastAsia"/>
          <w:b/>
          <w:szCs w:val="21"/>
        </w:rPr>
        <w:t>Medical costs and interventional behavior of selected studies by systematic review</w:t>
      </w:r>
    </w:p>
    <w:tbl>
      <w:tblPr>
        <w:tblpPr w:leftFromText="142" w:rightFromText="142" w:vertAnchor="text" w:tblpY="1"/>
        <w:tblOverlap w:val="never"/>
        <w:tblW w:w="138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2"/>
        <w:gridCol w:w="1070"/>
        <w:gridCol w:w="1518"/>
        <w:gridCol w:w="1701"/>
        <w:gridCol w:w="1701"/>
        <w:gridCol w:w="992"/>
        <w:gridCol w:w="1701"/>
        <w:gridCol w:w="1701"/>
        <w:gridCol w:w="1418"/>
        <w:gridCol w:w="992"/>
      </w:tblGrid>
      <w:tr w:rsidR="00F97EC2" w:rsidRPr="00D12A15" w14:paraId="18546AB0" w14:textId="77777777" w:rsidTr="009B6F2B">
        <w:trPr>
          <w:trHeight w:val="285"/>
        </w:trPr>
        <w:tc>
          <w:tcPr>
            <w:tcW w:w="214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10503" w14:textId="77777777" w:rsidR="00F97EC2" w:rsidRPr="00D12A15" w:rsidRDefault="00F97EC2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A33D0" w14:textId="77777777" w:rsidR="00F97EC2" w:rsidRPr="00D12A15" w:rsidRDefault="00CB034A" w:rsidP="00E97F5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Cardiac rehabilitation (</w:t>
            </w:r>
            <w:r w:rsidR="00B86998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7328C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arm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25F73" w14:textId="77777777" w:rsidR="00F97EC2" w:rsidRPr="00D12A15" w:rsidRDefault="00CB034A" w:rsidP="00E97F5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Usual care (</w:t>
            </w:r>
            <w:r w:rsidR="00B86998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UC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7328C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arm</w:t>
            </w:r>
          </w:p>
        </w:tc>
      </w:tr>
      <w:tr w:rsidR="00E97F5A" w:rsidRPr="00D12A15" w14:paraId="3BE7E41D" w14:textId="77777777" w:rsidTr="009B6F2B">
        <w:trPr>
          <w:trHeight w:val="415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DA658" w14:textId="77777777" w:rsidR="00F97EC2" w:rsidRPr="00D12A15" w:rsidRDefault="007328C1" w:rsidP="00E97F5A">
            <w:pPr>
              <w:widowControl/>
              <w:spacing w:line="360" w:lineRule="auto"/>
              <w:jc w:val="center"/>
              <w:rPr>
                <w:rFonts w:ascii="Arial" w:eastAsia="ＭＳ Ｐ明朝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A3377F4" w14:textId="2B46159C" w:rsidR="00E2430B" w:rsidRDefault="007328C1" w:rsidP="00E2430B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Cost</w:t>
            </w:r>
            <w:r w:rsidR="00F97EC2" w:rsidRPr="00D12A1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356CB7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(USD)</w:t>
            </w:r>
          </w:p>
          <w:p w14:paraId="338D9A64" w14:textId="3FFAB96E" w:rsidR="00F97EC2" w:rsidRPr="00D12A15" w:rsidRDefault="00F97EC2" w:rsidP="00E2430B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D1154B" w:rsidRPr="00E2430B"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Intervention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8C47F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Cardiac rehabilitation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711A2" w14:textId="77777777" w:rsidR="00F97EC2" w:rsidRPr="00D12A15" w:rsidRDefault="007328C1" w:rsidP="007328C1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Investigations, diagnosis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C30FE" w14:textId="72DFDEDF" w:rsidR="00F97EC2" w:rsidRPr="00D12A15" w:rsidRDefault="007328C1" w:rsidP="00EE44BB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Treatment (admission, operation, etc)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06281" w14:textId="77777777" w:rsidR="00F97EC2" w:rsidRPr="00D12A15" w:rsidRDefault="007328C1" w:rsidP="007328C1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FDC1B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Investigations, diagnosis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BF192" w14:textId="1175F50B" w:rsidR="00F97EC2" w:rsidRPr="00D12A15" w:rsidRDefault="007328C1" w:rsidP="00EE44BB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Treatment (admission, operation, etc)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F27F6" w14:textId="77777777" w:rsidR="00F97EC2" w:rsidRPr="00D12A15" w:rsidRDefault="007328C1" w:rsidP="00E97F5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CCB81" w14:textId="77777777" w:rsidR="00F97EC2" w:rsidRPr="00D12A15" w:rsidRDefault="007328C1" w:rsidP="00E97F5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E97F5A" w:rsidRPr="00D12A15" w14:paraId="6F3B9175" w14:textId="77777777" w:rsidTr="009B6F2B">
        <w:trPr>
          <w:trHeight w:val="415"/>
        </w:trPr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6F49E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eastAsia="ＭＳ Ｐ明朝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32132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6629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51B6B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9C09F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F6B3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082C1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51049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EA932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DB37C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97F5A" w:rsidRPr="00D12A15" w14:paraId="5E4499FD" w14:textId="77777777" w:rsidTr="009B6F2B">
        <w:trPr>
          <w:trHeight w:val="741"/>
        </w:trPr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8278B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eastAsia="ＭＳ Ｐ明朝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1EB0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1EB66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04DBF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359E0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BCDC6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2183F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8F14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CA95F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AA26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97F5A" w:rsidRPr="00D12A15" w14:paraId="6E688BE8" w14:textId="77777777" w:rsidTr="009B6F2B">
        <w:trPr>
          <w:trHeight w:val="1144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4599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Oldridge, 1993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D2E00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Direct cost</w:t>
            </w:r>
          </w:p>
          <w:p w14:paraId="3E5A886C" w14:textId="45742753" w:rsidR="00F97EC2" w:rsidRPr="00D12A15" w:rsidRDefault="00F97EC2" w:rsidP="007328C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06995" w14:textId="77777777" w:rsidR="007328C1" w:rsidRDefault="007328C1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enting space</w:t>
            </w:r>
          </w:p>
          <w:p w14:paraId="064F4483" w14:textId="14157B10" w:rsidR="00F97EC2" w:rsidRPr="00D12A15" w:rsidRDefault="00F97EC2" w:rsidP="005217EA">
            <w:pPr>
              <w:widowControl/>
              <w:spacing w:line="360" w:lineRule="auto"/>
              <w:ind w:firstLineChars="300" w:firstLine="54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E97F5A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218.29</w:t>
            </w:r>
          </w:p>
          <w:p w14:paraId="2A03FEBA" w14:textId="77777777" w:rsidR="007328C1" w:rsidRDefault="007328C1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Equipment</w:t>
            </w:r>
          </w:p>
          <w:p w14:paraId="764FF4B1" w14:textId="171EDB79" w:rsidR="00F97EC2" w:rsidRPr="00D12A15" w:rsidRDefault="00E97F5A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48.17</w:t>
            </w:r>
          </w:p>
          <w:p w14:paraId="746B234F" w14:textId="77777777" w:rsidR="007328C1" w:rsidRDefault="007328C1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Staff salaries</w:t>
            </w:r>
          </w:p>
          <w:p w14:paraId="4D367506" w14:textId="15D66F73" w:rsidR="00F97EC2" w:rsidRPr="00D12A15" w:rsidRDefault="00E97F5A" w:rsidP="005217EA">
            <w:pPr>
              <w:widowControl/>
              <w:spacing w:line="360" w:lineRule="auto"/>
              <w:ind w:firstLineChars="300" w:firstLine="54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111.4</w:t>
            </w:r>
          </w:p>
          <w:p w14:paraId="3D34539A" w14:textId="77777777" w:rsidR="00B81B44" w:rsidRPr="00D12A15" w:rsidRDefault="00E97F5A" w:rsidP="00E97F5A">
            <w:pPr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</w:t>
            </w:r>
            <w:r w:rsidR="00F97EC2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ommunity CR     </w:t>
            </w:r>
          </w:p>
          <w:p w14:paraId="1B780E6B" w14:textId="5E7E54FC" w:rsidR="00F97EC2" w:rsidRPr="00D12A15" w:rsidRDefault="00356CB7" w:rsidP="00E97F5A">
            <w:pPr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60.22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DDFAF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B1AFB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70A4B" w14:textId="2F8F28F4" w:rsidR="00F97EC2" w:rsidRPr="00D12A15" w:rsidRDefault="00356CB7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438.09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2A36D" w14:textId="77777777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4980B" w14:textId="498C0E46" w:rsidR="00F97EC2" w:rsidRPr="00D12A15" w:rsidRDefault="007328C1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2FDC8" w14:textId="77777777" w:rsidR="005217EA" w:rsidRDefault="00F97EC2" w:rsidP="005217E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Community care</w:t>
            </w:r>
          </w:p>
          <w:p w14:paraId="05F992D3" w14:textId="408ED353" w:rsidR="00F97EC2" w:rsidRPr="00D12A15" w:rsidRDefault="0094702F" w:rsidP="005217E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E97F5A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356CB7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255.93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25E4D" w14:textId="3280A190" w:rsidR="00F97EC2" w:rsidRPr="00D12A15" w:rsidRDefault="00356CB7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255.93</w:t>
            </w:r>
          </w:p>
        </w:tc>
      </w:tr>
      <w:tr w:rsidR="00E97F5A" w:rsidRPr="00D12A15" w14:paraId="177BA816" w14:textId="77777777" w:rsidTr="009B6F2B">
        <w:trPr>
          <w:trHeight w:val="40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3E9D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Yu, 2004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AE647" w14:textId="77777777" w:rsidR="007328C1" w:rsidRPr="00D12A15" w:rsidRDefault="007328C1" w:rsidP="007328C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Direct cost</w:t>
            </w:r>
          </w:p>
          <w:p w14:paraId="5CB0F214" w14:textId="6604F735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3E3A1" w14:textId="77777777" w:rsidR="007328C1" w:rsidRDefault="007328C1" w:rsidP="007328C1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Staff salaries</w:t>
            </w:r>
          </w:p>
          <w:p w14:paraId="46803C5A" w14:textId="77777777" w:rsidR="00F97EC2" w:rsidRPr="00D12A15" w:rsidRDefault="00E97F5A" w:rsidP="007328C1">
            <w:pPr>
              <w:widowControl/>
              <w:spacing w:line="360" w:lineRule="auto"/>
              <w:ind w:firstLineChars="300" w:firstLine="54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776.6</w:t>
            </w:r>
          </w:p>
          <w:p w14:paraId="4098309F" w14:textId="77777777" w:rsidR="007328C1" w:rsidRDefault="007328C1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Miscellaneous</w:t>
            </w:r>
            <w:r w:rsidR="00E97F5A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98E1B21" w14:textId="1D0C76B6" w:rsidR="00E97F5A" w:rsidRPr="00D12A15" w:rsidRDefault="00CB034A" w:rsidP="007328C1">
            <w:pPr>
              <w:widowControl/>
              <w:spacing w:line="360" w:lineRule="auto"/>
              <w:ind w:firstLineChars="250" w:firstLine="45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392E2" w14:textId="77777777" w:rsidR="008B2029" w:rsidRDefault="008B2029" w:rsidP="00E97F5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Coronary angiogram</w:t>
            </w:r>
          </w:p>
          <w:p w14:paraId="4316D665" w14:textId="77777777" w:rsidR="00F97EC2" w:rsidRPr="00D12A15" w:rsidRDefault="00E97F5A" w:rsidP="008B2029">
            <w:pPr>
              <w:widowControl/>
              <w:spacing w:line="360" w:lineRule="auto"/>
              <w:ind w:firstLineChars="550" w:firstLine="99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1.8</w:t>
            </w:r>
          </w:p>
          <w:p w14:paraId="5E2BC8EA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Echocardiography</w:t>
            </w:r>
          </w:p>
          <w:p w14:paraId="50C7AC3F" w14:textId="77656745" w:rsidR="00F97EC2" w:rsidRPr="00D12A15" w:rsidRDefault="00CB034A" w:rsidP="008B2029">
            <w:pPr>
              <w:widowControl/>
              <w:spacing w:line="360" w:lineRule="auto"/>
              <w:ind w:firstLineChars="400" w:firstLine="7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448.7</w:t>
            </w:r>
          </w:p>
          <w:p w14:paraId="1727D4AA" w14:textId="51C65085" w:rsidR="00F97EC2" w:rsidRPr="00D12A15" w:rsidRDefault="00CB034A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Holter 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118.6</w:t>
            </w:r>
          </w:p>
          <w:p w14:paraId="6E16472F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Exercise test</w:t>
            </w:r>
          </w:p>
          <w:p w14:paraId="67B5D693" w14:textId="77777777" w:rsidR="00F97EC2" w:rsidRPr="00D12A15" w:rsidRDefault="00E97F5A" w:rsidP="008B2029">
            <w:pPr>
              <w:widowControl/>
              <w:spacing w:line="360" w:lineRule="auto"/>
              <w:ind w:firstLineChars="500" w:firstLine="9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553.8</w:t>
            </w:r>
          </w:p>
          <w:p w14:paraId="45F5B306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Electrocardiogram</w:t>
            </w:r>
          </w:p>
          <w:p w14:paraId="7DE1BD0D" w14:textId="71053E41" w:rsidR="00F97EC2" w:rsidRPr="00D12A15" w:rsidRDefault="00CB034A" w:rsidP="008B2029">
            <w:pPr>
              <w:widowControl/>
              <w:spacing w:line="360" w:lineRule="auto"/>
              <w:ind w:firstLineChars="300" w:firstLine="54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140.4</w:t>
            </w:r>
          </w:p>
          <w:p w14:paraId="581E8DB0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Blood test</w:t>
            </w:r>
          </w:p>
          <w:p w14:paraId="272E7D6B" w14:textId="713244A3" w:rsidR="00F97EC2" w:rsidRPr="00D12A15" w:rsidRDefault="00D07CEE" w:rsidP="008B2029">
            <w:pPr>
              <w:widowControl/>
              <w:spacing w:line="360" w:lineRule="auto"/>
              <w:ind w:firstLineChars="400" w:firstLine="7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1013.1</w:t>
            </w:r>
          </w:p>
          <w:p w14:paraId="3D8E3B9A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Chest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-ray</w:t>
            </w:r>
          </w:p>
          <w:p w14:paraId="14915299" w14:textId="3D52A5D8" w:rsidR="00F97EC2" w:rsidRPr="00D12A15" w:rsidRDefault="00D07CEE" w:rsidP="00597D99">
            <w:pPr>
              <w:widowControl/>
              <w:spacing w:line="360" w:lineRule="auto"/>
              <w:ind w:firstLineChars="400" w:firstLine="7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48.7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A6E48" w14:textId="77777777" w:rsidR="00F97EC2" w:rsidRPr="00D12A15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Admission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3553.6</w:t>
            </w:r>
          </w:p>
          <w:p w14:paraId="5F058A8F" w14:textId="75766E46" w:rsidR="00E97F5A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PCI</w:t>
            </w:r>
            <w:r w:rsidR="00E97F5A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94702F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B034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4885</w:t>
            </w:r>
          </w:p>
          <w:p w14:paraId="72A177F2" w14:textId="5B7169AA" w:rsidR="00F97EC2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CABG</w:t>
            </w:r>
            <w:r w:rsidR="00E97F5A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CB034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94702F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256.4</w:t>
            </w:r>
          </w:p>
          <w:p w14:paraId="3783839D" w14:textId="678C8A83" w:rsidR="00F97EC2" w:rsidRPr="00D12A15" w:rsidRDefault="00F97EC2" w:rsidP="00597D99">
            <w:pPr>
              <w:widowControl/>
              <w:spacing w:line="360" w:lineRule="auto"/>
              <w:ind w:left="1260" w:hangingChars="700" w:hanging="1260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Private clinic visit</w:t>
            </w:r>
            <w:r w:rsidR="00E97F5A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E97F5A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82</w:t>
            </w:r>
          </w:p>
          <w:p w14:paraId="4B5CEBE3" w14:textId="77777777" w:rsidR="00B81B44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Public cardiac clinic visit</w:t>
            </w:r>
          </w:p>
          <w:p w14:paraId="46D232BD" w14:textId="77777777" w:rsidR="00F97EC2" w:rsidRPr="00D12A15" w:rsidRDefault="00F97EC2" w:rsidP="00E97F5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425.3</w:t>
            </w:r>
          </w:p>
          <w:p w14:paraId="08F15D3F" w14:textId="77777777" w:rsidR="00B81B44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Public cardiac non clinic visit</w:t>
            </w:r>
          </w:p>
          <w:p w14:paraId="2E92F289" w14:textId="77777777" w:rsidR="00F97EC2" w:rsidRPr="00D12A15" w:rsidRDefault="00F97EC2" w:rsidP="00E97F5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146.3 </w:t>
            </w:r>
          </w:p>
          <w:p w14:paraId="566F3188" w14:textId="719B62CB" w:rsidR="00F97EC2" w:rsidRPr="00D12A15" w:rsidRDefault="00D07CEE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27.4</w:t>
            </w:r>
          </w:p>
          <w:p w14:paraId="02CC1E5A" w14:textId="414D13F5" w:rsidR="00F97EC2" w:rsidRPr="00D12A15" w:rsidRDefault="00D07CEE" w:rsidP="00D07CEE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Drugs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1939.6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52468" w14:textId="77777777" w:rsidR="00F97EC2" w:rsidRPr="00D12A15" w:rsidRDefault="00F97EC2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15291.9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28F17" w14:textId="3317A439" w:rsidR="00597D99" w:rsidRDefault="008B2029" w:rsidP="00597D99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Coronary angiogram</w:t>
            </w:r>
            <w:r w:rsidR="00597D9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57781FB9" w14:textId="77777777" w:rsidR="00F97EC2" w:rsidRPr="00D12A15" w:rsidRDefault="00F97EC2" w:rsidP="00597D99">
            <w:pPr>
              <w:widowControl/>
              <w:spacing w:line="360" w:lineRule="auto"/>
              <w:ind w:firstLineChars="500" w:firstLine="9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1025.6</w:t>
            </w:r>
          </w:p>
          <w:p w14:paraId="3665E927" w14:textId="77777777" w:rsidR="008B2029" w:rsidRDefault="008B2029" w:rsidP="008B2029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Echocardiography</w:t>
            </w:r>
          </w:p>
          <w:p w14:paraId="7EAE5B0D" w14:textId="0C7423C2" w:rsidR="00F97EC2" w:rsidRPr="00D12A15" w:rsidRDefault="00CB034A" w:rsidP="008B2029">
            <w:pPr>
              <w:widowControl/>
              <w:spacing w:line="360" w:lineRule="auto"/>
              <w:ind w:firstLineChars="400" w:firstLine="7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448.7</w:t>
            </w:r>
          </w:p>
          <w:p w14:paraId="01E7F26B" w14:textId="509C578D" w:rsidR="00F97EC2" w:rsidRPr="00D12A15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Holter </w:t>
            </w:r>
            <w:r w:rsidR="00E97F5A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7D9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118.6</w:t>
            </w:r>
          </w:p>
          <w:p w14:paraId="3A4BAD8A" w14:textId="77777777" w:rsidR="00597D99" w:rsidRDefault="00597D9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Exercise </w:t>
            </w:r>
            <w:r w:rsidR="008B202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tes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</w:p>
          <w:p w14:paraId="044D6998" w14:textId="18D79936" w:rsidR="00F97EC2" w:rsidRPr="00D12A15" w:rsidRDefault="00CB034A" w:rsidP="00597D99">
            <w:pPr>
              <w:widowControl/>
              <w:spacing w:line="360" w:lineRule="auto"/>
              <w:ind w:firstLineChars="450" w:firstLine="81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553.8</w:t>
            </w:r>
          </w:p>
          <w:p w14:paraId="28D8AA43" w14:textId="77777777" w:rsidR="008B2029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Electrocardiogram</w:t>
            </w:r>
          </w:p>
          <w:p w14:paraId="1B088F1B" w14:textId="3954D26E" w:rsidR="00F97EC2" w:rsidRPr="00D12A15" w:rsidRDefault="00CB034A" w:rsidP="008B2029">
            <w:pPr>
              <w:widowControl/>
              <w:spacing w:line="360" w:lineRule="auto"/>
              <w:ind w:firstLineChars="300" w:firstLine="54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140.4</w:t>
            </w:r>
          </w:p>
          <w:p w14:paraId="3266AC37" w14:textId="77777777" w:rsidR="00597D99" w:rsidRDefault="008B2029" w:rsidP="00597D99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Blood test</w:t>
            </w:r>
          </w:p>
          <w:p w14:paraId="27E996AB" w14:textId="1ECC9BE4" w:rsidR="00F97EC2" w:rsidRPr="00D12A15" w:rsidRDefault="00D07CEE" w:rsidP="00597D99">
            <w:pPr>
              <w:widowControl/>
              <w:spacing w:line="360" w:lineRule="auto"/>
              <w:ind w:firstLineChars="300" w:firstLine="54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1013.1</w:t>
            </w:r>
          </w:p>
          <w:p w14:paraId="4745EC0C" w14:textId="77777777" w:rsidR="00597D99" w:rsidRDefault="008B2029" w:rsidP="00597D99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Chest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</w:t>
            </w:r>
            <w:r w:rsidR="00597D9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-ray</w:t>
            </w:r>
          </w:p>
          <w:p w14:paraId="607D5E9A" w14:textId="0F0B5800" w:rsidR="00F97EC2" w:rsidRPr="00D12A15" w:rsidRDefault="00D07CEE" w:rsidP="00597D99">
            <w:pPr>
              <w:widowControl/>
              <w:spacing w:line="360" w:lineRule="auto"/>
              <w:ind w:firstLineChars="300" w:firstLine="54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31668" w14:textId="77777777" w:rsidR="00F97EC2" w:rsidRPr="00D12A15" w:rsidRDefault="008B2029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Admission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2747.0</w:t>
            </w:r>
          </w:p>
          <w:p w14:paraId="3F9F732A" w14:textId="286DA1A9" w:rsidR="00F97EC2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PCI</w:t>
            </w:r>
            <w:r w:rsidR="0094702F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CB034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6481.2</w:t>
            </w:r>
          </w:p>
          <w:p w14:paraId="6311F4DD" w14:textId="44310594" w:rsidR="00F97EC2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CABG</w:t>
            </w:r>
            <w:r w:rsidR="0094702F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B034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205.1</w:t>
            </w:r>
          </w:p>
          <w:p w14:paraId="42EB9D9F" w14:textId="77777777" w:rsidR="00F97EC2" w:rsidRPr="00D12A15" w:rsidRDefault="00F97EC2" w:rsidP="00597D99">
            <w:pPr>
              <w:widowControl/>
              <w:spacing w:line="360" w:lineRule="auto"/>
              <w:ind w:left="1080" w:hangingChars="600" w:hanging="1080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Private clinic visit</w:t>
            </w:r>
            <w:r w:rsidR="00E97F5A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4702F"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B034A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53.5</w:t>
            </w:r>
          </w:p>
          <w:p w14:paraId="640AC6B5" w14:textId="77777777" w:rsidR="00B81B44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Public cardiac clinic visit</w:t>
            </w:r>
          </w:p>
          <w:p w14:paraId="0C7607D1" w14:textId="77777777" w:rsidR="00F97EC2" w:rsidRPr="00D12A15" w:rsidRDefault="00F97EC2" w:rsidP="00E97F5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435.2</w:t>
            </w:r>
          </w:p>
          <w:p w14:paraId="27168C48" w14:textId="77777777" w:rsidR="00B81B44" w:rsidRPr="00D12A15" w:rsidRDefault="00F97EC2" w:rsidP="00E97F5A">
            <w:pPr>
              <w:widowControl/>
              <w:spacing w:line="360" w:lineRule="auto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Public cardiac non clinic visit</w:t>
            </w:r>
          </w:p>
          <w:p w14:paraId="27107834" w14:textId="77777777" w:rsidR="00F97EC2" w:rsidRPr="00D12A15" w:rsidRDefault="00F97EC2" w:rsidP="00E97F5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155.0</w:t>
            </w:r>
          </w:p>
          <w:p w14:paraId="3DE038C2" w14:textId="3FA5A291" w:rsidR="00F97EC2" w:rsidRPr="00D12A15" w:rsidRDefault="00D07CEE" w:rsidP="00E97F5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30.0</w:t>
            </w:r>
          </w:p>
          <w:p w14:paraId="5DEE4A75" w14:textId="28F401BA" w:rsidR="00F97EC2" w:rsidRPr="00D12A15" w:rsidRDefault="00D07CEE" w:rsidP="00D07CEE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Drugs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1836.5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B5E7F" w14:textId="77777777" w:rsidR="007328C1" w:rsidRDefault="007328C1" w:rsidP="007328C1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Staff salaries</w:t>
            </w:r>
          </w:p>
          <w:p w14:paraId="5E54E881" w14:textId="0F9B6CBA" w:rsidR="00F97EC2" w:rsidRPr="00D12A15" w:rsidRDefault="00F97EC2" w:rsidP="005217EA">
            <w:pPr>
              <w:widowControl/>
              <w:spacing w:line="360" w:lineRule="auto"/>
              <w:ind w:firstLineChars="300" w:firstLine="54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889CE" w14:textId="77777777" w:rsidR="00F97EC2" w:rsidRPr="00D12A15" w:rsidRDefault="00F97EC2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15707.4</w:t>
            </w:r>
          </w:p>
        </w:tc>
      </w:tr>
      <w:tr w:rsidR="00E97F5A" w:rsidRPr="00D12A15" w14:paraId="7542815C" w14:textId="77777777" w:rsidTr="009B6F2B">
        <w:trPr>
          <w:trHeight w:val="1816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C1E64" w14:textId="77777777" w:rsidR="00F97EC2" w:rsidRPr="00D12A15" w:rsidRDefault="00F97EC2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lastRenderedPageBreak/>
              <w:t>Briffa, 2005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6F0B1" w14:textId="77777777" w:rsidR="007328C1" w:rsidRPr="00D12A15" w:rsidRDefault="007328C1" w:rsidP="007328C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Direct cost</w:t>
            </w:r>
          </w:p>
          <w:p w14:paraId="305C94A3" w14:textId="0D0D1609" w:rsidR="00F97EC2" w:rsidRPr="00D12A15" w:rsidRDefault="00F97EC2" w:rsidP="007328C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EFEFD" w14:textId="77777777" w:rsidR="007328C1" w:rsidRDefault="007328C1" w:rsidP="007328C1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6-week package</w:t>
            </w:r>
          </w:p>
          <w:p w14:paraId="3C491E94" w14:textId="4A131310" w:rsidR="00F97EC2" w:rsidRPr="00D12A15" w:rsidRDefault="00D07CEE" w:rsidP="005217EA">
            <w:pPr>
              <w:widowControl/>
              <w:spacing w:line="360" w:lineRule="auto"/>
              <w:ind w:firstLineChars="100" w:firstLine="180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508.23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6F878" w14:textId="77777777" w:rsidR="008B2029" w:rsidRDefault="008B2029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Imaging test </w:t>
            </w:r>
          </w:p>
          <w:p w14:paraId="5E16F23A" w14:textId="58CF24B4" w:rsidR="00F97EC2" w:rsidRPr="00D12A15" w:rsidRDefault="0094702F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1666.77</w:t>
            </w:r>
          </w:p>
          <w:p w14:paraId="315784B8" w14:textId="77777777" w:rsidR="008B2029" w:rsidRDefault="008B2029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Biological test</w:t>
            </w:r>
          </w:p>
          <w:p w14:paraId="058B6508" w14:textId="1DBFE9B4" w:rsidR="00F97EC2" w:rsidRPr="00D12A15" w:rsidRDefault="00F97EC2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  <w:r w:rsidR="0094702F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422.55</w:t>
            </w:r>
          </w:p>
          <w:p w14:paraId="4FAFA3BF" w14:textId="77777777" w:rsidR="00F97EC2" w:rsidRPr="00D12A15" w:rsidRDefault="00F97EC2" w:rsidP="00E97F5A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ABD90" w14:textId="77777777" w:rsidR="005217EA" w:rsidRDefault="00D07CEE" w:rsidP="005217E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Drugs</w:t>
            </w:r>
          </w:p>
          <w:p w14:paraId="2029A6F0" w14:textId="157701BA" w:rsidR="00F97EC2" w:rsidRPr="00D12A15" w:rsidRDefault="00D07CEE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487.73</w:t>
            </w:r>
          </w:p>
          <w:p w14:paraId="78F602C7" w14:textId="18DDC790" w:rsidR="008B2029" w:rsidRDefault="008B2029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Consultation (</w:t>
            </w:r>
            <w:r w:rsidR="00F97EC2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ER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 local doctor, heart specialist, etc)</w:t>
            </w:r>
            <w:r w:rsidR="00D07CE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94702F"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0D571F9" w14:textId="42504F97" w:rsidR="00F97EC2" w:rsidRPr="00D12A15" w:rsidRDefault="00356CB7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297.32</w:t>
            </w:r>
          </w:p>
          <w:p w14:paraId="424DDFAF" w14:textId="77777777" w:rsidR="005217EA" w:rsidRDefault="00D07CEE" w:rsidP="005217EA">
            <w:pPr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Ambulance</w:t>
            </w:r>
          </w:p>
          <w:p w14:paraId="678223AA" w14:textId="408B0FD2" w:rsidR="00F97EC2" w:rsidRPr="00D12A15" w:rsidRDefault="00D07CEE" w:rsidP="005217EA">
            <w:pPr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138.41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F122B" w14:textId="07A4960C" w:rsidR="00F97EC2" w:rsidRPr="00D12A15" w:rsidRDefault="00356CB7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3521.01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8B432" w14:textId="77777777" w:rsidR="008B2029" w:rsidRDefault="008B2029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Imaging test</w:t>
            </w:r>
          </w:p>
          <w:p w14:paraId="5A759AF5" w14:textId="501CFA8A" w:rsidR="00F97EC2" w:rsidRPr="00D12A15" w:rsidRDefault="00D07CEE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1652.85</w:t>
            </w:r>
          </w:p>
          <w:p w14:paraId="6CC69D11" w14:textId="77777777" w:rsidR="008B2029" w:rsidRDefault="008B2029" w:rsidP="008B2029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Biological test</w:t>
            </w:r>
          </w:p>
          <w:p w14:paraId="1A847CE1" w14:textId="68EC9C48" w:rsidR="00F97EC2" w:rsidRPr="00D12A15" w:rsidRDefault="00356CB7" w:rsidP="005217EA">
            <w:pPr>
              <w:widowControl/>
              <w:spacing w:line="360" w:lineRule="auto"/>
              <w:ind w:firstLineChars="400" w:firstLine="7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385.2</w:t>
            </w:r>
          </w:p>
          <w:p w14:paraId="67B78633" w14:textId="0A08C690" w:rsidR="00F97EC2" w:rsidRPr="00D12A15" w:rsidRDefault="00D07CEE" w:rsidP="00E97F5A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4608E" w14:textId="77777777" w:rsidR="005217EA" w:rsidRDefault="00D07CEE" w:rsidP="005217EA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Drugs</w:t>
            </w:r>
          </w:p>
          <w:p w14:paraId="06A430CA" w14:textId="6C68FEBA" w:rsidR="00F97EC2" w:rsidRPr="00D12A15" w:rsidRDefault="00D07CEE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573.41</w:t>
            </w:r>
          </w:p>
          <w:p w14:paraId="63F07C30" w14:textId="77777777" w:rsidR="008B2029" w:rsidRDefault="008B2029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Consultation (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ER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 local doctor, heart specialist, etc)</w:t>
            </w:r>
          </w:p>
          <w:p w14:paraId="1BD9303B" w14:textId="3B5197DC" w:rsidR="00F97EC2" w:rsidRPr="00D12A15" w:rsidRDefault="00D07CEE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345.66</w:t>
            </w:r>
          </w:p>
          <w:p w14:paraId="130108EE" w14:textId="77777777" w:rsidR="005217EA" w:rsidRDefault="00D07CEE" w:rsidP="005217EA">
            <w:pPr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Ambulance</w:t>
            </w:r>
          </w:p>
          <w:p w14:paraId="761C0565" w14:textId="29C04065" w:rsidR="00F97EC2" w:rsidRPr="00D12A15" w:rsidRDefault="00D07CEE" w:rsidP="005217EA">
            <w:pPr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243.13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7FC36" w14:textId="77777777" w:rsidR="008B2029" w:rsidRDefault="008B2029" w:rsidP="008B2029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Rehabilitation (details unknown)</w:t>
            </w:r>
          </w:p>
          <w:p w14:paraId="49637BA8" w14:textId="41EF1489" w:rsidR="00F97EC2" w:rsidRPr="00D12A15" w:rsidRDefault="00D07CEE" w:rsidP="005217EA">
            <w:pPr>
              <w:widowControl/>
              <w:spacing w:line="360" w:lineRule="auto"/>
              <w:ind w:firstLineChars="400" w:firstLine="72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12A1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56CB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46.14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BC649" w14:textId="0BF3A7C9" w:rsidR="00F97EC2" w:rsidRPr="00D12A15" w:rsidRDefault="00356CB7" w:rsidP="00E97F5A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3245.66</w:t>
            </w:r>
          </w:p>
        </w:tc>
      </w:tr>
      <w:tr w:rsidR="003D426D" w:rsidRPr="00D12A15" w14:paraId="471F657A" w14:textId="77777777" w:rsidTr="009B6F2B">
        <w:trPr>
          <w:trHeight w:val="1816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99206" w14:textId="77777777" w:rsidR="003D426D" w:rsidRDefault="003D426D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Leggett,</w:t>
            </w:r>
          </w:p>
          <w:p w14:paraId="54139D5C" w14:textId="77777777" w:rsidR="003D426D" w:rsidRPr="00D12A15" w:rsidRDefault="003D426D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8C092" w14:textId="77777777" w:rsidR="003D426D" w:rsidRPr="00D12A15" w:rsidRDefault="003D426D" w:rsidP="0028363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Direct cost</w:t>
            </w:r>
          </w:p>
          <w:p w14:paraId="0C5054F8" w14:textId="1A8A6D88" w:rsidR="003D426D" w:rsidRDefault="003D426D" w:rsidP="0028363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85CDA" w14:textId="77777777" w:rsidR="003D426D" w:rsidRDefault="003D426D" w:rsidP="007328C1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Program cost</w:t>
            </w:r>
          </w:p>
          <w:p w14:paraId="076ED7DD" w14:textId="4B98ACC2" w:rsidR="003D426D" w:rsidRDefault="003D426D" w:rsidP="005217E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356CB7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1752.32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BE365" w14:textId="77777777" w:rsidR="003D426D" w:rsidRPr="00D12A15" w:rsidRDefault="003D426D" w:rsidP="00847600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822D" w14:textId="77777777" w:rsidR="003D426D" w:rsidRDefault="003D426D" w:rsidP="00847600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Annual cost of care after first year</w:t>
            </w:r>
          </w:p>
          <w:p w14:paraId="6BA1F0D4" w14:textId="3B286AB7" w:rsidR="003D426D" w:rsidRPr="00D12A15" w:rsidRDefault="003D426D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2026.01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0F837" w14:textId="1892B8F6" w:rsidR="003D426D" w:rsidRPr="00D12A15" w:rsidRDefault="00CE3530" w:rsidP="00EB2396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32981.44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31EB" w14:textId="77777777" w:rsidR="003D426D" w:rsidRDefault="003D426D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AD958" w14:textId="77777777" w:rsidR="003D426D" w:rsidRDefault="003D426D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B7B1" w14:textId="77777777" w:rsidR="003D426D" w:rsidRDefault="003D426D" w:rsidP="008B2029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40062" w14:textId="4FCE7DF9" w:rsidR="003D426D" w:rsidRPr="00D12A15" w:rsidRDefault="00CE3530" w:rsidP="00EB2396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31099.23</w:t>
            </w:r>
          </w:p>
        </w:tc>
      </w:tr>
      <w:tr w:rsidR="00133EA1" w:rsidRPr="00D12A15" w14:paraId="2F4794AC" w14:textId="77777777" w:rsidTr="009B6F2B">
        <w:trPr>
          <w:trHeight w:val="1816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4C3CD" w14:textId="27EE1663" w:rsidR="00133EA1" w:rsidRDefault="00133EA1" w:rsidP="00E97F5A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 xml:space="preserve">Hautala, </w:t>
            </w:r>
            <w:r w:rsidR="00A24DA2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5813" w14:textId="3FC393AC" w:rsidR="00133EA1" w:rsidRDefault="00133EA1" w:rsidP="00CE3530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Direct cost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7D17B" w14:textId="77777777" w:rsidR="00133EA1" w:rsidRDefault="00133EA1" w:rsidP="007328C1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33EA1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Exercise-based cardiac rehabilitation costs</w:t>
            </w:r>
          </w:p>
          <w:p w14:paraId="726C29D5" w14:textId="4D04FBA2" w:rsidR="00133EA1" w:rsidRDefault="00133EA1" w:rsidP="005217EA">
            <w:pPr>
              <w:widowControl/>
              <w:spacing w:line="360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 xml:space="preserve">           </w:t>
            </w:r>
            <w:r w:rsidR="00CE3530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315.18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BB87" w14:textId="77777777" w:rsidR="00133EA1" w:rsidRDefault="00133EA1" w:rsidP="00847600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FFA4A" w14:textId="53366100" w:rsidR="00133EA1" w:rsidRPr="00133EA1" w:rsidRDefault="00133EA1" w:rsidP="00133EA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Primary health care </w:t>
            </w:r>
            <w:r w:rsidR="00D07CE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costs   </w:t>
            </w:r>
            <w:r w:rsidR="00D07CEE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376.31</w:t>
            </w:r>
          </w:p>
          <w:p w14:paraId="7F11D753" w14:textId="68340D19" w:rsidR="00133EA1" w:rsidRPr="00133EA1" w:rsidRDefault="00133EA1" w:rsidP="00133EA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Secondary health care costs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1224.86</w:t>
            </w:r>
          </w:p>
          <w:p w14:paraId="6A7E8150" w14:textId="2FE75897" w:rsidR="00133EA1" w:rsidRDefault="00133EA1" w:rsidP="00CE3530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33EA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Occupational health care service costs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132.82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3C523" w14:textId="1189E9D5" w:rsidR="00133EA1" w:rsidRPr="00133EA1" w:rsidRDefault="005217EA" w:rsidP="00EB2396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2168.73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E98D8" w14:textId="77777777" w:rsidR="00133EA1" w:rsidRDefault="00133EA1" w:rsidP="0094702F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236E" w14:textId="77777777" w:rsidR="005217EA" w:rsidRDefault="00133EA1" w:rsidP="00133EA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Primary health care </w:t>
            </w:r>
            <w:r w:rsidR="00D07CE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costs </w:t>
            </w:r>
          </w:p>
          <w:p w14:paraId="1BDA7B1A" w14:textId="0F230A68" w:rsidR="00133EA1" w:rsidRPr="00133EA1" w:rsidRDefault="00D07CEE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509.13</w:t>
            </w:r>
          </w:p>
          <w:p w14:paraId="4E52EA48" w14:textId="77777777" w:rsidR="005217EA" w:rsidRDefault="00133EA1" w:rsidP="00133EA1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Secondary health care costs </w:t>
            </w:r>
          </w:p>
          <w:p w14:paraId="27B145C0" w14:textId="5DF2B654" w:rsidR="00133EA1" w:rsidRPr="00133EA1" w:rsidRDefault="00133EA1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2613.11</w:t>
            </w:r>
          </w:p>
          <w:p w14:paraId="43499D1E" w14:textId="77777777" w:rsidR="005217EA" w:rsidRDefault="00133EA1" w:rsidP="00CE3530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33EA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Occupational health care service costs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14:paraId="56CD9E28" w14:textId="7A1D5140" w:rsidR="00133EA1" w:rsidRDefault="00133EA1" w:rsidP="005217EA">
            <w:pPr>
              <w:widowControl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97D9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E353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68.52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94258" w14:textId="77777777" w:rsidR="00133EA1" w:rsidRDefault="00133EA1" w:rsidP="008B2029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Not mentioned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ED55" w14:textId="72DC38C3" w:rsidR="00133EA1" w:rsidRPr="003D426D" w:rsidRDefault="005217EA" w:rsidP="00EB2396">
            <w:pPr>
              <w:widowControl/>
              <w:spacing w:line="36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3376.92</w:t>
            </w:r>
          </w:p>
        </w:tc>
      </w:tr>
    </w:tbl>
    <w:p w14:paraId="12D509D1" w14:textId="346ED91C" w:rsidR="00236C9F" w:rsidRDefault="00236C9F" w:rsidP="00A0556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18"/>
          <w:szCs w:val="18"/>
        </w:rPr>
      </w:pPr>
    </w:p>
    <w:p w14:paraId="2F27EDA9" w14:textId="77777777" w:rsidR="00236C9F" w:rsidRDefault="00236C9F">
      <w:pPr>
        <w:widowControl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C112EC" w14:textId="29D54676" w:rsidR="00236C9F" w:rsidRDefault="00236C9F">
      <w:pPr>
        <w:widowControl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Cs w:val="21"/>
        </w:rPr>
        <w:lastRenderedPageBreak/>
        <w:t xml:space="preserve">Supplementary Material </w:t>
      </w:r>
      <w:r w:rsidRPr="00D12A15">
        <w:rPr>
          <w:rFonts w:ascii="Arial" w:hAnsi="Arial" w:cs="Arial"/>
          <w:b/>
          <w:szCs w:val="21"/>
        </w:rPr>
        <w:t xml:space="preserve">Table </w:t>
      </w:r>
      <w:r>
        <w:rPr>
          <w:rFonts w:ascii="Arial" w:hAnsi="Arial" w:cs="Arial" w:hint="eastAsia"/>
          <w:b/>
          <w:szCs w:val="21"/>
        </w:rPr>
        <w:t>2</w:t>
      </w:r>
      <w:r>
        <w:rPr>
          <w:rFonts w:ascii="Arial" w:hAnsi="Arial" w:cs="Arial"/>
          <w:b/>
          <w:szCs w:val="21"/>
        </w:rPr>
        <w:t>:</w:t>
      </w:r>
      <w:r w:rsidRPr="00D12A15">
        <w:rPr>
          <w:rFonts w:ascii="Arial" w:hAnsi="Arial" w:cs="Arial"/>
          <w:b/>
          <w:szCs w:val="21"/>
        </w:rPr>
        <w:t xml:space="preserve"> Summaries of selected studies by systematic review</w:t>
      </w:r>
    </w:p>
    <w:tbl>
      <w:tblPr>
        <w:tblpPr w:leftFromText="142" w:rightFromText="142" w:vertAnchor="text" w:horzAnchor="margin" w:tblpY="1545"/>
        <w:tblW w:w="12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087"/>
        <w:gridCol w:w="2087"/>
        <w:gridCol w:w="2088"/>
        <w:gridCol w:w="2088"/>
        <w:gridCol w:w="2088"/>
      </w:tblGrid>
      <w:tr w:rsidR="00236C9F" w:rsidRPr="00D12A15" w14:paraId="4BBB448C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F0F91E3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Year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35CADC5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1993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5834598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2004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811A8B2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2005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816B49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2015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7FDB952" w14:textId="73DD9A05" w:rsidR="00236C9F" w:rsidRPr="00E16EC1" w:rsidRDefault="00A24DA2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2017</w:t>
            </w:r>
          </w:p>
        </w:tc>
      </w:tr>
      <w:tr w:rsidR="00236C9F" w:rsidRPr="00D12A15" w14:paraId="65BF1A38" w14:textId="77777777" w:rsidTr="00236C9F">
        <w:trPr>
          <w:trHeight w:val="77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A418CD1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Author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FC42595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Oldridge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2E2C867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Yu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12EFA3F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Briffa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433321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Leggett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70D5693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Hautala</w:t>
            </w:r>
          </w:p>
        </w:tc>
      </w:tr>
      <w:tr w:rsidR="00236C9F" w:rsidRPr="00D12A15" w14:paraId="06BA57BE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F5DC7DC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Country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BC923E0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Canada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E724A39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China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19664AB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1A0C69D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Canada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F074B7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Finland</w:t>
            </w:r>
          </w:p>
        </w:tc>
      </w:tr>
      <w:tr w:rsidR="00236C9F" w:rsidRPr="00D12A15" w14:paraId="01DAAF48" w14:textId="77777777" w:rsidTr="00236C9F">
        <w:trPr>
          <w:trHeight w:val="48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5C4BD89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Objective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7A7FC5F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Effectiveness of cardiac rehabilitation in patients after acute myocardial infarction 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289ACEA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Evaluation of long-term effects of QOL and cost-effective in the CRPP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6BB7622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Effects on cost and QOL by cardiac rehabilitation after acute coronary syndrome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0AFCA1E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A</w:t>
            </w:r>
            <w:r w:rsidRPr="00FF3F26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ssess the cost utility of a center-based outpatient 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CR</w:t>
            </w:r>
            <w:r w:rsidRPr="00FF3F26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program compared with no program 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2E9E3F3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Evaluation of the cost-effectiveness of exercise-based cardiac rehabilitation </w:t>
            </w:r>
          </w:p>
        </w:tc>
      </w:tr>
      <w:tr w:rsidR="00236C9F" w:rsidRPr="00D12A15" w14:paraId="7CD5554B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D831401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Study design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A342B4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RCT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A42EA27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RCT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41DB02F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RCT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1FCE8FF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>M</w:t>
            </w:r>
            <w:r>
              <w:rPr>
                <w:rFonts w:ascii="Arial" w:eastAsiaTheme="minorEastAsia" w:hAnsi="Arial" w:cs="Arial" w:hint="eastAsia"/>
                <w:kern w:val="0"/>
                <w:sz w:val="16"/>
                <w:szCs w:val="16"/>
              </w:rPr>
              <w:t>odel analysis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E834406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RCT</w:t>
            </w:r>
          </w:p>
        </w:tc>
      </w:tr>
      <w:tr w:rsidR="00236C9F" w:rsidRPr="00D12A15" w14:paraId="0EA54A59" w14:textId="77777777" w:rsidTr="00236C9F">
        <w:trPr>
          <w:trHeight w:val="40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362A84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Sample number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C09BEA0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CR 99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Control 102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CE2F491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CR 132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Control 72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9CD1C7E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CR 56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Control 57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CCAE1FE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E4CAD67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CR 109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Control 95</w:t>
            </w:r>
          </w:p>
        </w:tc>
      </w:tr>
      <w:tr w:rsidR="00236C9F" w:rsidRPr="00D12A15" w14:paraId="13D39C8E" w14:textId="77777777" w:rsidTr="00236C9F">
        <w:trPr>
          <w:trHeight w:val="52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621EA75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Target disease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E2C7834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Patients diagnosed 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with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acute myocardial infarction within 6 weeks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B0C135E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Patients with recent acute myocardial infarction or percutaneous coronary intervention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94FEAFD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Patients with unstable angina or treated for acute myocardial infarction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9F6F70E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FF3F26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acute coronary syndrome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(ACS)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2709366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CAD patients who suffered from acute coronary syndrome (ACS)</w:t>
            </w:r>
          </w:p>
        </w:tc>
      </w:tr>
      <w:tr w:rsidR="00236C9F" w:rsidRPr="00D12A15" w14:paraId="63975A0B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829A7A9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Age (year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>s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± SD, intervention/control</w:t>
            </w:r>
            <w:r>
              <w:rPr>
                <w:rFonts w:ascii="Arial" w:eastAsiaTheme="minorEastAsia" w:hAnsi="Arial" w:cs="Arial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111E173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53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9.5/53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9.5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602D791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64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11/64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614808A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61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8.7/62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9.4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B93DDB6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2AD7611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60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11/62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±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9</w:t>
            </w:r>
          </w:p>
        </w:tc>
      </w:tr>
      <w:tr w:rsidR="00236C9F" w:rsidRPr="00D12A15" w14:paraId="7B9CFF04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066391A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Sex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（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number of male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>s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 xml:space="preserve">, </w:t>
            </w:r>
            <w:r>
              <w:rPr>
                <w:rFonts w:ascii="Arial" w:eastAsiaTheme="minorEastAsia" w:hAnsi="Arial" w:cs="Arial"/>
                <w:kern w:val="0"/>
                <w:sz w:val="16"/>
                <w:szCs w:val="16"/>
              </w:rPr>
              <w:t>rehabilita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tion/control</w:t>
            </w: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）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CA983DF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87/90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E34CB4A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138/66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A67C873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42/41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A81B348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CC779EB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80/67</w:t>
            </w:r>
          </w:p>
        </w:tc>
      </w:tr>
      <w:tr w:rsidR="00236C9F" w:rsidRPr="00D12A15" w14:paraId="45DFBF67" w14:textId="77777777" w:rsidTr="008A7299">
        <w:trPr>
          <w:trHeight w:val="3123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0F023B4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79695C5" w14:textId="77777777" w:rsidR="00236C9F" w:rsidRPr="00E16EC1" w:rsidRDefault="00236C9F" w:rsidP="00236C9F">
            <w:pPr>
              <w:widowControl/>
              <w:spacing w:line="360" w:lineRule="auto"/>
              <w:ind w:left="80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Cardiac rehabilitation program (8 weeks)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Supervised exercise therapy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Risk management counseling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6FC7730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CRPP 7 to 14 days </w:t>
            </w:r>
          </w:p>
          <w:p w14:paraId="2E75575D" w14:textId="77777777" w:rsidR="00236C9F" w:rsidRPr="00E16EC1" w:rsidRDefault="00236C9F" w:rsidP="00236C9F">
            <w:pPr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Phase 2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outpatient education and exercise program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twice-weekly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8 weeks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Phase 3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community-based home exercise program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6 months 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Phase 4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long-term maintenance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until the end of second years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6A545FA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Start within 2 weeks of leaving hospital, thrice-weekly, 6-week package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60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～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90 minutes/time (exercise, education, counseling)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6D7A74B0" w14:textId="4BA540EE" w:rsidR="00236C9F" w:rsidRPr="00E16EC1" w:rsidRDefault="008A7299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Center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-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based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outpatient cardiac rehabilitation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0DDB8139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During the first six months, once a week they visited our Cardiac Rehab gym, where they were individually guided in both gym and home-based exercise training by a physical therapist. </w:t>
            </w:r>
          </w:p>
          <w:p w14:paraId="38F90FCB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Dietary counseling for each patient or a checkup by a medical doctor when appropriate.</w:t>
            </w:r>
          </w:p>
        </w:tc>
      </w:tr>
      <w:tr w:rsidR="00236C9F" w:rsidRPr="00D12A15" w14:paraId="10EE8442" w14:textId="77777777" w:rsidTr="008A7299">
        <w:trPr>
          <w:trHeight w:val="60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3BEB865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lastRenderedPageBreak/>
              <w:t>Control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6B4DCB3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Usual medical treatment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(includes rehabilitation in community)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38388FB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Phase 1 only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inpatient ambulating program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7 to 14 days   </w:t>
            </w:r>
          </w:p>
          <w:p w14:paraId="782AE9BC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(2-hour talk with therapist, medication prescription)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155C85C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Usual medical treatment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(includes rehabilitation in community)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2F43D06" w14:textId="38037135" w:rsidR="00236C9F" w:rsidRPr="00E16EC1" w:rsidRDefault="008A7299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No cardiac rehabilitation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ED5F396" w14:textId="77777777" w:rsidR="00236C9F" w:rsidRPr="00E16EC1" w:rsidRDefault="00236C9F" w:rsidP="00236C9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individually tailored exercise prescriptions.</w:t>
            </w:r>
          </w:p>
        </w:tc>
      </w:tr>
      <w:tr w:rsidR="00236C9F" w:rsidRPr="00D12A15" w14:paraId="62F2B326" w14:textId="77777777" w:rsidTr="008A7299">
        <w:trPr>
          <w:trHeight w:val="66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9548563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Subgroup analysis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A8DDD4A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6F2DD0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age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sex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result of laboratory test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73D3472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E45EDC8" w14:textId="77777777" w:rsidR="00236C9F" w:rsidRDefault="008A7299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age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sex</w:t>
            </w:r>
          </w:p>
          <w:p w14:paraId="2A590C7E" w14:textId="059E821D" w:rsidR="008A7299" w:rsidRPr="008A7299" w:rsidRDefault="008A7299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clinical presentation</w:t>
            </w:r>
          </w:p>
          <w:p w14:paraId="5211AF83" w14:textId="35410315" w:rsidR="008A7299" w:rsidRPr="00E16EC1" w:rsidRDefault="008A7299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(with or without ACS)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B8713FA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</w:p>
          <w:p w14:paraId="58161A10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236C9F" w:rsidRPr="00D12A15" w14:paraId="4C64CB91" w14:textId="77777777" w:rsidTr="0074748F">
        <w:trPr>
          <w:trHeight w:val="36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3CFA2C2" w14:textId="77777777" w:rsidR="00236C9F" w:rsidRPr="00E16EC1" w:rsidRDefault="00236C9F" w:rsidP="00236C9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Evaluation period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A399CF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 year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2506FEA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 years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2E25C6B" w14:textId="77777777" w:rsidR="00236C9F" w:rsidRPr="00E16EC1" w:rsidRDefault="00236C9F" w:rsidP="00236C9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 year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1004ABE" w14:textId="2EA9E946" w:rsidR="00236C9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 year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34014A6" w14:textId="77777777" w:rsidR="00236C9F" w:rsidRPr="00E16EC1" w:rsidRDefault="00236C9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 year</w:t>
            </w:r>
          </w:p>
        </w:tc>
      </w:tr>
      <w:tr w:rsidR="0074748F" w:rsidRPr="00D12A15" w14:paraId="7C539B3A" w14:textId="77777777" w:rsidTr="00126C3A">
        <w:trPr>
          <w:trHeight w:val="31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1E265E8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Setting of hypothesis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6C59E8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8C2174F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9051F79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4951C67" w14:textId="330E075B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76F8525" w14:textId="0D7BA7AF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74748F" w:rsidRPr="00D12A15" w14:paraId="30553378" w14:textId="77777777" w:rsidTr="008A7299">
        <w:trPr>
          <w:trHeight w:val="1320"/>
        </w:trPr>
        <w:tc>
          <w:tcPr>
            <w:tcW w:w="24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E77088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Considered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 xml:space="preserve">1)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CR cost (exercise therapy-relate cost)</w:t>
            </w:r>
          </w:p>
          <w:p w14:paraId="278E80F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2) Additional cost (test, diagnosis and prescription for pre/post CR)</w:t>
            </w:r>
          </w:p>
          <w:p w14:paraId="20F5D1AE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3) Readmission and retreatment cost </w:t>
            </w:r>
          </w:p>
          <w:p w14:paraId="1179CD2A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4) Cost of other program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additional home care </w:t>
            </w:r>
          </w:p>
          <w:p w14:paraId="08C08CA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5) Others (loss in income, etc)</w:t>
            </w:r>
          </w:p>
        </w:tc>
        <w:tc>
          <w:tcPr>
            <w:tcW w:w="2087" w:type="dxa"/>
            <w:tcBorders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DE034E3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[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basis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]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>1)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4) Staff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depreciation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Other cost (renting space, patient-borne cost)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【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Medical fee basis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】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2) Cost of investigation</w:t>
            </w:r>
          </w:p>
        </w:tc>
        <w:tc>
          <w:tcPr>
            <w:tcW w:w="2087" w:type="dxa"/>
            <w:tcBorders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D59C2FA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[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basis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]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>1)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4) Staff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depreciation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 xml:space="preserve">2) 3) Other medical cost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Cost of investigation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admission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urgent admission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operation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medication</w:t>
            </w:r>
          </w:p>
        </w:tc>
        <w:tc>
          <w:tcPr>
            <w:tcW w:w="2088" w:type="dxa"/>
            <w:tcBorders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799DAD7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[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basis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]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>1)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4)Staff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material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【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Medical fee basis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】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2) 3) Cost of admission, prescription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clinical examination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investigation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medical care service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14:paraId="14885D1B" w14:textId="77777777" w:rsid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[Cost basis]</w:t>
            </w:r>
          </w:p>
          <w:p w14:paraId="431D1F71" w14:textId="219A6656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1)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of providing cardiac rehabilitation</w:t>
            </w:r>
          </w:p>
          <w:p w14:paraId="2834C756" w14:textId="40E7DAB2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3)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for the first year after cardiac catheterization</w:t>
            </w:r>
          </w:p>
          <w:p w14:paraId="0BCFE59E" w14:textId="77777777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for those who do and those who do not</w:t>
            </w:r>
          </w:p>
          <w:p w14:paraId="41A89ACA" w14:textId="77777777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have a second cardiac event, subsequent</w:t>
            </w:r>
          </w:p>
          <w:p w14:paraId="7C4720A7" w14:textId="77777777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annual cost of care, and the cost of treating</w:t>
            </w:r>
          </w:p>
          <w:p w14:paraId="646D6B34" w14:textId="4FBCAEBD" w:rsidR="0074748F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patients who die</w:t>
            </w:r>
          </w:p>
        </w:tc>
        <w:tc>
          <w:tcPr>
            <w:tcW w:w="2088" w:type="dxa"/>
            <w:tcBorders>
              <w:left w:val="nil"/>
              <w:bottom w:val="nil"/>
              <w:right w:val="single" w:sz="4" w:space="0" w:color="231F20"/>
            </w:tcBorders>
            <w:vAlign w:val="center"/>
          </w:tcPr>
          <w:p w14:paraId="54B6A8E5" w14:textId="77777777" w:rsidR="0074748F" w:rsidRPr="00E16EC1" w:rsidRDefault="0074748F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[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basis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]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>1)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4)Staff cost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，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material cost</w:t>
            </w:r>
          </w:p>
          <w:p w14:paraId="7E7A2E75" w14:textId="77777777" w:rsidR="0074748F" w:rsidRPr="00E16EC1" w:rsidRDefault="0074748F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2) 3) primary health care cost, secondary health care cost, Occupational health care service costs</w:t>
            </w:r>
          </w:p>
        </w:tc>
      </w:tr>
      <w:tr w:rsidR="0074748F" w:rsidRPr="00D12A15" w14:paraId="4979C486" w14:textId="77777777" w:rsidTr="00EB04B2">
        <w:trPr>
          <w:trHeight w:val="56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FA44AE6" w14:textId="4E68A37C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Rationale of cost calculation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CDA3E42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Rehabilitation cost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statistical data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Patient’s own expense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estimated by actual condition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B93489D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of rehabilitation, admission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published by hospital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of drugs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local drug formulary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Private practitioner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patient’s self-report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C557266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DRG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Schedule of Pharmaceutical Benefits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Questionnaire to patients and physicians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Health system perspectives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1CD3224" w14:textId="7A5AA82E" w:rsid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・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APPROACH database</w:t>
            </w:r>
          </w:p>
          <w:p w14:paraId="4FCFEA1C" w14:textId="3D121920" w:rsidR="008A7299" w:rsidRPr="008A7299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・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Total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Cardiology Rehabilitation and Risk Reduction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Program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: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salaries,employee benefits, professional development,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office supplies, medical supplies, and exercise</w:t>
            </w:r>
          </w:p>
          <w:p w14:paraId="651271D8" w14:textId="0FCF05FE" w:rsidR="0074748F" w:rsidRPr="00E16EC1" w:rsidRDefault="008A7299" w:rsidP="008A7299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equipment, 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overhead costs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(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annual facility, advertising, technology,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lastRenderedPageBreak/>
              <w:t>insurance,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8A7299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and electricity costs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FA64D8E" w14:textId="77777777" w:rsidR="0074748F" w:rsidRPr="00E16EC1" w:rsidRDefault="0074748F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lastRenderedPageBreak/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DRG</w:t>
            </w:r>
          </w:p>
          <w:p w14:paraId="79F9EB24" w14:textId="77777777" w:rsidR="0074748F" w:rsidRPr="00E16EC1" w:rsidRDefault="0074748F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Registries</w:t>
            </w:r>
          </w:p>
          <w:p w14:paraId="03BECAE1" w14:textId="77777777" w:rsidR="0074748F" w:rsidRPr="00E16EC1" w:rsidRDefault="0074748F" w:rsidP="008A7299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Report of the Social Insurance Institute of Finland</w:t>
            </w:r>
          </w:p>
        </w:tc>
      </w:tr>
      <w:tr w:rsidR="0074748F" w:rsidRPr="00D12A15" w14:paraId="5EA7A0E9" w14:textId="77777777" w:rsidTr="0074748F">
        <w:trPr>
          <w:trHeight w:val="78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F7517A7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Modeling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A194CBE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difference in survival rate between intervention arm and control arm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7A1DE28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Use Kaplan-Meier survival analysis for calculation of mortality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7D462CD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Use Quality Adjusted Survival Analysis (QASA) for calculation of survival years (under investigation)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9DF03C6" w14:textId="79310F6D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Markov model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A0B0B2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Use Kaplan-Meier survival analysis to examine differences in cumulative major adverse cardiac event</w:t>
            </w:r>
          </w:p>
        </w:tc>
      </w:tr>
      <w:tr w:rsidR="0074748F" w:rsidRPr="00D12A15" w14:paraId="247BC79F" w14:textId="77777777" w:rsidTr="00236C9F">
        <w:trPr>
          <w:trHeight w:val="315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FD4FB69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Evidence review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8BDD326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55A10C6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B427012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ED22AD8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C2852C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74748F" w:rsidRPr="00D12A15" w14:paraId="01A180CC" w14:textId="77777777" w:rsidTr="0074748F">
        <w:trPr>
          <w:trHeight w:val="106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BA5E20C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Outcome index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5DDC48B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QALY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Mortality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Work status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Frequency of health care resource use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7C9EEB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QALY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SF-36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D71993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QALY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SF-36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EFD005C" w14:textId="6CC95F34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QALY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B0388BC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QALY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15D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</w:p>
        </w:tc>
      </w:tr>
      <w:tr w:rsidR="0074748F" w:rsidRPr="00D12A15" w14:paraId="3704603E" w14:textId="77777777" w:rsidTr="0074748F">
        <w:trPr>
          <w:trHeight w:val="919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BD6C630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Method of utility calculation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97DDC21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Time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Trade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-o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ff 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Use mortality rate reported by meta-analysis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C72C847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Time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Trade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-o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ff  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A7A0556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UBQ-H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  <w:t>(Utility Based Quality of life-Heart; disease-specific questionnaire that contains TTO)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362BA144" w14:textId="5935365E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EQ-5D-3L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42D66C45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15D questionnaire (consists of fifteen dimensions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mobility, vision, hearing, breathing, sleeping, eating, speech, elimination, usual activities, mental function, discomfort and symptoms, depression, distress, vitality, and sexual activity)</w:t>
            </w:r>
          </w:p>
        </w:tc>
      </w:tr>
      <w:tr w:rsidR="0074748F" w:rsidRPr="00D12A15" w14:paraId="498F8C6F" w14:textId="77777777" w:rsidTr="00126C3A">
        <w:trPr>
          <w:trHeight w:val="36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DED07CF" w14:textId="77777777" w:rsidR="0074748F" w:rsidRPr="00E16EC1" w:rsidRDefault="0074748F" w:rsidP="0074748F">
            <w:pPr>
              <w:widowControl/>
              <w:spacing w:line="360" w:lineRule="auto"/>
              <w:ind w:left="80" w:hangingChars="50" w:hanging="80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Method of cost-effectiveness analysis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9516F82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42FA9DD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39462BE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E9CFC99" w14:textId="2AC58691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ICUR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79350CC" w14:textId="7981CC95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ICUR</w:t>
            </w:r>
          </w:p>
        </w:tc>
      </w:tr>
      <w:tr w:rsidR="0074748F" w:rsidRPr="00D12A15" w14:paraId="0FEDF06D" w14:textId="77777777" w:rsidTr="00236C9F">
        <w:trPr>
          <w:trHeight w:val="36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0B4E80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Discount rate of cost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CF459E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5% / year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1AE6BF4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B705A43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043A864" w14:textId="3B2E16BC" w:rsidR="0074748F" w:rsidRPr="00E16EC1" w:rsidRDefault="008A7299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5% / year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E9FB4F5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74748F" w:rsidRPr="00D12A15" w14:paraId="6E21C0DC" w14:textId="77777777" w:rsidTr="00236C9F">
        <w:trPr>
          <w:trHeight w:val="36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62D4A28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Discount rate of outcome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282C218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5% / year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D5CB2DC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8469F35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8567344" w14:textId="743CA78F" w:rsidR="0074748F" w:rsidRPr="00E16EC1" w:rsidRDefault="008A7299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5% / year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790EEB0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74748F" w:rsidRPr="00D12A15" w14:paraId="52AE8515" w14:textId="77777777" w:rsidTr="0074748F">
        <w:trPr>
          <w:trHeight w:val="45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F0997B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of intervention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C3CCA30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480 $ (1 year)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32590B7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15,291 $ (2 years)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32DB14C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4,937 $ (1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0AF76AFB" w14:textId="3DAF790F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45,792.91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$ (1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0CFE5C5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2168.73 $ (1 year)</w:t>
            </w:r>
          </w:p>
        </w:tc>
      </w:tr>
      <w:tr w:rsidR="0074748F" w:rsidRPr="00D12A15" w14:paraId="15D64CCA" w14:textId="77777777" w:rsidTr="0074748F">
        <w:trPr>
          <w:trHeight w:val="48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C344EF9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Outcome of intervention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DC65FDA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0.071 (QALY, 1 year)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E580D47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0.6(QALY, survival duration)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 (compared with baseline)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0249E4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0.0092886 (QALY, 1 year)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/>
            </w: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9D9754A" w14:textId="02D34DFD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9.77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(QALY, 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67559F9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0.013 (QALY, 1 year)</w:t>
            </w:r>
          </w:p>
          <w:p w14:paraId="2F0960E0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</w:p>
        </w:tc>
      </w:tr>
      <w:tr w:rsidR="0074748F" w:rsidRPr="00D12A15" w14:paraId="5BCFD194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94CABEF" w14:textId="6C1504B4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Cost of control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D6CE5C2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5B73FF0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15,707 $ (2 years)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21C826C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4,541 $ (1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AC457D3" w14:textId="05BE8641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43,179.57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$ (1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96A3DC0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3376.92 $ (1 year)</w:t>
            </w:r>
          </w:p>
        </w:tc>
      </w:tr>
      <w:tr w:rsidR="0074748F" w:rsidRPr="00D12A15" w14:paraId="2ABB4991" w14:textId="77777777" w:rsidTr="00126C3A">
        <w:trPr>
          <w:trHeight w:val="270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EA80B02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lastRenderedPageBreak/>
              <w:t>Outcome of control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BB2950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A2CB6E1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 (compared with baseline)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070C741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ＭＳ ゴシック" w:eastAsia="ＭＳ ゴシック" w:hAnsi="ＭＳ ゴシック" w:cs="ＭＳ ゴシック" w:hint="eastAsia"/>
                <w:color w:val="231F20"/>
                <w:kern w:val="0"/>
                <w:sz w:val="16"/>
                <w:szCs w:val="16"/>
              </w:rPr>
              <w:t>※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difference only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198E993" w14:textId="4E8B4ED1" w:rsidR="0074748F" w:rsidRPr="00E16EC1" w:rsidRDefault="0074748F" w:rsidP="0074748F">
            <w:pPr>
              <w:widowControl/>
              <w:spacing w:line="360" w:lineRule="auto"/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9.70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(QALY, 1 year)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32456187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="ＭＳ ゴシック" w:hAnsi="Arial" w:cs="Arial"/>
                <w:color w:val="231F20"/>
                <w:kern w:val="0"/>
                <w:sz w:val="16"/>
                <w:szCs w:val="16"/>
              </w:rPr>
              <w:t>-0.012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(QALY, 1 year)</w:t>
            </w:r>
          </w:p>
        </w:tc>
      </w:tr>
      <w:tr w:rsidR="0074748F" w:rsidRPr="00D12A15" w14:paraId="5F1DCED9" w14:textId="77777777" w:rsidTr="00236C9F">
        <w:trPr>
          <w:trHeight w:val="1878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E020B20" w14:textId="77777777" w:rsidR="0074748F" w:rsidRPr="00E16EC1" w:rsidRDefault="0074748F" w:rsidP="0074748F">
            <w:pPr>
              <w:widowControl/>
              <w:spacing w:line="360" w:lineRule="auto"/>
              <w:ind w:left="160" w:hangingChars="100" w:hanging="160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Result of cost-effectiveness analysis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F71C77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</w:t>
            </w:r>
          </w:p>
          <w:p w14:paraId="2AFD9E82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9,200 ($/ Δ QALY)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 w:type="page"/>
              <w:t xml:space="preserve"> 1 year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 w:type="page"/>
              <w:t>6,800 ($/ Δ QALY)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 w:type="page"/>
              <w:t xml:space="preserve"> 3 years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EB6B43F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SF-36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</w:p>
          <w:p w14:paraId="222DB89E" w14:textId="77777777" w:rsidR="0074748F" w:rsidRPr="00E16EC1" w:rsidRDefault="0074748F" w:rsidP="0074748F">
            <w:pPr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Demonstrated improvement in Phase 2 in patients with CRPP </w:t>
            </w:r>
          </w:p>
          <w:p w14:paraId="4F10562C" w14:textId="77777777" w:rsidR="0074748F" w:rsidRPr="00E16EC1" w:rsidRDefault="0074748F" w:rsidP="0074748F">
            <w:pPr>
              <w:spacing w:line="360" w:lineRule="auto"/>
              <w:jc w:val="left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- 640 ($/ΔQALY)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0C6A87B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ICUR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: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br w:type="page"/>
              <w:t>42,535 ($/ΔQALY)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A5000" w14:textId="3309BDDB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T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he incremental cost per QALY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gained ranged from $18,102 for men with ACS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older than 75 years to $104,519 for women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without ACS younger than 65 years.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1BD741" w14:textId="77777777" w:rsidR="0074748F" w:rsidRPr="00E16EC1" w:rsidRDefault="0074748F" w:rsidP="0074748F">
            <w:pPr>
              <w:widowControl/>
              <w:spacing w:line="360" w:lineRule="auto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Dominant</w:t>
            </w:r>
          </w:p>
        </w:tc>
      </w:tr>
      <w:tr w:rsidR="0074748F" w:rsidRPr="00D12A15" w14:paraId="3FA97EA6" w14:textId="77777777" w:rsidTr="00CD0FE8">
        <w:trPr>
          <w:trHeight w:val="1656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5954CCD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Sensitivity analysis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BB01284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Performed using the differences in the lower and upper 95%CI limits of utility score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CC314B7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2FE843F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Performed one-way sensitivity analysis using the differences in the lower and upper 95%CI limits of ICUR and mortality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92467F0" w14:textId="3D78E831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Performed 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1-way sensitivity analysis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and p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robabilistic 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s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ensitivity 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a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nalysis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4B4302F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  <w:tr w:rsidR="0074748F" w:rsidRPr="00D12A15" w14:paraId="15DCD4F5" w14:textId="77777777" w:rsidTr="00CD0FE8">
        <w:trPr>
          <w:trHeight w:val="2101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46C7EA5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Conclusion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1435FB3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Cardiac rehabilitation is cost-effective in patients after acute myocardial infarction treatment.</w:t>
            </w: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0BB351E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Score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s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o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the SF-36 improved from the early period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.</w:t>
            </w: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 xml:space="preserve"> and it was highly cost-effective in patients with CRPP. 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8F16045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Rehabilitation showed superiority in improvement of QOL.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F06FC87" w14:textId="5BD82CA6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C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ardiac rehabilitation is most cost effective for those with an ACS and</w:t>
            </w: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those who are at higher risk for subsequent cardiac events.</w:t>
            </w:r>
          </w:p>
        </w:tc>
        <w:tc>
          <w:tcPr>
            <w:tcW w:w="2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A1294A1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Exercise-based cardiac rehabilitation is less costly and more effective than usual care in acute coronary syndrome patients.</w:t>
            </w:r>
          </w:p>
        </w:tc>
      </w:tr>
      <w:tr w:rsidR="0074748F" w:rsidRPr="00D12A15" w14:paraId="5C8EFED5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3E28721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Generalization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466EBCF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particular limitation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B713079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particular limitation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05D8EB6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particular limitation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038C697" w14:textId="3B7A1096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231F20"/>
                <w:kern w:val="0"/>
                <w:sz w:val="16"/>
                <w:szCs w:val="16"/>
              </w:rPr>
              <w:t>G</w:t>
            </w:r>
            <w:r w:rsidRPr="00CD0FE8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eneralizable to practic</w:t>
            </w:r>
            <w:r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e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D276D0B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No particular limitation</w:t>
            </w:r>
          </w:p>
        </w:tc>
      </w:tr>
      <w:tr w:rsidR="0074748F" w:rsidRPr="00D12A15" w14:paraId="0D17DCA6" w14:textId="77777777" w:rsidTr="00236C9F">
        <w:trPr>
          <w:trHeight w:val="222"/>
        </w:trPr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4D3284A" w14:textId="77777777" w:rsidR="0074748F" w:rsidRPr="00E16EC1" w:rsidRDefault="0074748F" w:rsidP="0074748F">
            <w:pPr>
              <w:widowControl/>
              <w:spacing w:line="360" w:lineRule="auto"/>
              <w:jc w:val="left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Fiscal impact analysis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3BD82D6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851316B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DE1C25E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EA6A96" w14:textId="7702B2C0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  <w:tc>
          <w:tcPr>
            <w:tcW w:w="208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1407DF8D" w14:textId="77777777" w:rsidR="0074748F" w:rsidRPr="00E16EC1" w:rsidRDefault="0074748F" w:rsidP="0074748F">
            <w:pPr>
              <w:widowControl/>
              <w:spacing w:line="360" w:lineRule="auto"/>
              <w:jc w:val="center"/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</w:pPr>
            <w:r w:rsidRPr="00E16EC1">
              <w:rPr>
                <w:rFonts w:ascii="Arial" w:eastAsiaTheme="minorEastAsia" w:hAnsi="Arial" w:cs="Arial"/>
                <w:color w:val="231F20"/>
                <w:kern w:val="0"/>
                <w:sz w:val="16"/>
                <w:szCs w:val="16"/>
              </w:rPr>
              <w:t>─</w:t>
            </w:r>
          </w:p>
        </w:tc>
      </w:tr>
    </w:tbl>
    <w:p w14:paraId="5C12AA75" w14:textId="2EEC5BC6" w:rsidR="00236C9F" w:rsidRPr="00D12A15" w:rsidRDefault="00236C9F" w:rsidP="00236C9F">
      <w:pPr>
        <w:spacing w:line="360" w:lineRule="auto"/>
        <w:jc w:val="center"/>
        <w:rPr>
          <w:rFonts w:ascii="Arial" w:hAnsi="Arial" w:cs="Arial"/>
          <w:b/>
          <w:szCs w:val="21"/>
        </w:rPr>
      </w:pPr>
    </w:p>
    <w:p w14:paraId="25E1A20E" w14:textId="77777777" w:rsidR="00236C9F" w:rsidRPr="00236C9F" w:rsidRDefault="00236C9F">
      <w:pPr>
        <w:widowControl/>
        <w:jc w:val="left"/>
        <w:rPr>
          <w:rFonts w:ascii="Arial" w:hAnsi="Arial" w:cs="Arial"/>
          <w:sz w:val="18"/>
          <w:szCs w:val="18"/>
        </w:rPr>
      </w:pPr>
    </w:p>
    <w:p w14:paraId="51B0CCA2" w14:textId="77777777" w:rsidR="00301A74" w:rsidRPr="00D12A15" w:rsidRDefault="00301A74" w:rsidP="00301A74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sz w:val="20"/>
          <w:szCs w:val="20"/>
        </w:rPr>
      </w:pPr>
    </w:p>
    <w:p w14:paraId="3C897D77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19F2376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120288D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9C09C63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4D3C6E3C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225DDFB2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65B78B9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7E330880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6DA18A7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77F085C6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6148E53A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448EDC47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37A57373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614ACC94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D9746C0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7F81E653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356DEF4C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581F4B9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75964D4C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222052A0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4D0E7AE6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3F8D9AED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367D59FA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1F1AA89" w14:textId="77777777" w:rsidR="00236C9F" w:rsidRDefault="00236C9F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3626B89" w14:textId="77777777" w:rsidR="00EB04B2" w:rsidRDefault="00EB04B2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1C45511" w14:textId="77777777" w:rsidR="00EB04B2" w:rsidRDefault="00EB04B2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64002F09" w14:textId="77777777" w:rsidR="00EB04B2" w:rsidRDefault="00EB04B2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6A73CB2" w14:textId="448992B4" w:rsidR="00301A74" w:rsidRDefault="00D07CEE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RCT</w:t>
      </w:r>
      <w:r w:rsidR="00CD0FE8">
        <w:rPr>
          <w:rFonts w:ascii="Arial" w:hAnsi="Arial" w:cs="Arial" w:hint="eastAsia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randomized controlled trial</w:t>
      </w:r>
    </w:p>
    <w:p w14:paraId="28547A4B" w14:textId="1484503A" w:rsidR="00D07CEE" w:rsidRDefault="00CD0FE8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DRG</w:t>
      </w:r>
      <w:r>
        <w:rPr>
          <w:rFonts w:ascii="Arial" w:hAnsi="Arial" w:cs="Arial" w:hint="eastAsia"/>
          <w:sz w:val="20"/>
          <w:szCs w:val="20"/>
        </w:rPr>
        <w:t xml:space="preserve">, </w:t>
      </w:r>
      <w:r w:rsidR="00D07CEE">
        <w:rPr>
          <w:rFonts w:ascii="Arial" w:hAnsi="Arial" w:cs="Arial"/>
          <w:sz w:val="20"/>
          <w:szCs w:val="20"/>
        </w:rPr>
        <w:t>diagnosis-related group</w:t>
      </w:r>
    </w:p>
    <w:p w14:paraId="589AA5F9" w14:textId="16582145" w:rsidR="0010297A" w:rsidRDefault="00CD0FE8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QALY</w:t>
      </w:r>
      <w:r>
        <w:rPr>
          <w:rFonts w:ascii="Arial" w:hAnsi="Arial" w:cs="Arial" w:hint="eastAsia"/>
          <w:sz w:val="20"/>
          <w:szCs w:val="20"/>
        </w:rPr>
        <w:t xml:space="preserve">, </w:t>
      </w:r>
      <w:r w:rsidR="0010297A">
        <w:rPr>
          <w:rFonts w:ascii="Arial" w:hAnsi="Arial" w:cs="Arial"/>
          <w:sz w:val="20"/>
          <w:szCs w:val="20"/>
        </w:rPr>
        <w:t>quality-adjusted life year</w:t>
      </w:r>
    </w:p>
    <w:p w14:paraId="40C0827F" w14:textId="7CC58CA5" w:rsidR="0010297A" w:rsidRDefault="0010297A" w:rsidP="00301A7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SF</w:t>
      </w:r>
      <w:r w:rsidR="00EE44BB">
        <w:rPr>
          <w:rFonts w:ascii="Arial" w:hAnsi="Arial" w:cs="Arial" w:hint="eastAsia"/>
          <w:sz w:val="20"/>
          <w:szCs w:val="20"/>
        </w:rPr>
        <w:t>-36</w:t>
      </w:r>
      <w:r w:rsidR="00CD0FE8">
        <w:rPr>
          <w:rFonts w:ascii="Arial" w:hAnsi="Arial" w:cs="Arial" w:hint="eastAsia"/>
          <w:sz w:val="20"/>
          <w:szCs w:val="20"/>
        </w:rPr>
        <w:t xml:space="preserve">, </w:t>
      </w:r>
      <w:r w:rsidR="00EE44BB" w:rsidRPr="00EE44BB">
        <w:rPr>
          <w:rFonts w:ascii="Arial" w:hAnsi="Arial" w:cs="Arial"/>
          <w:sz w:val="20"/>
          <w:szCs w:val="20"/>
        </w:rPr>
        <w:t>36-Item Short Form Survey</w:t>
      </w:r>
    </w:p>
    <w:p w14:paraId="18C427B2" w14:textId="77A4F631" w:rsidR="00A319B0" w:rsidRDefault="00CD0FE8" w:rsidP="00301A74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ICUR</w:t>
      </w:r>
      <w:r>
        <w:rPr>
          <w:rFonts w:ascii="Arial" w:hAnsi="Arial" w:cs="Arial" w:hint="eastAsia"/>
          <w:sz w:val="20"/>
          <w:szCs w:val="20"/>
        </w:rPr>
        <w:t>,</w:t>
      </w:r>
      <w:r w:rsidR="00A319B0">
        <w:rPr>
          <w:rFonts w:ascii="Arial" w:hAnsi="Arial" w:cs="Arial"/>
          <w:sz w:val="20"/>
          <w:szCs w:val="20"/>
        </w:rPr>
        <w:t xml:space="preserve"> </w:t>
      </w:r>
      <w:r w:rsidR="00A319B0" w:rsidRPr="00EE44BB">
        <w:rPr>
          <w:rFonts w:asciiTheme="majorHAnsi" w:hAnsiTheme="majorHAnsi" w:cstheme="majorHAnsi"/>
          <w:sz w:val="20"/>
          <w:szCs w:val="20"/>
        </w:rPr>
        <w:t>incremental cost utility ratio</w:t>
      </w:r>
    </w:p>
    <w:p w14:paraId="65E2B78C" w14:textId="49C9D9D6" w:rsidR="00EB7C34" w:rsidRDefault="00CD0FE8" w:rsidP="00301A74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231F20"/>
          <w:kern w:val="0"/>
          <w:sz w:val="20"/>
          <w:szCs w:val="20"/>
        </w:rPr>
      </w:pPr>
      <w:r>
        <w:rPr>
          <w:rFonts w:ascii="Arial" w:eastAsiaTheme="minorEastAsia" w:hAnsi="Arial" w:cs="Arial"/>
          <w:color w:val="231F20"/>
          <w:kern w:val="0"/>
          <w:sz w:val="20"/>
          <w:szCs w:val="20"/>
        </w:rPr>
        <w:t>95%CI</w:t>
      </w:r>
      <w:r>
        <w:rPr>
          <w:rFonts w:ascii="Arial" w:eastAsiaTheme="minorEastAsia" w:hAnsi="Arial" w:cs="Arial" w:hint="eastAsia"/>
          <w:color w:val="231F20"/>
          <w:kern w:val="0"/>
          <w:sz w:val="20"/>
          <w:szCs w:val="20"/>
        </w:rPr>
        <w:t xml:space="preserve">, </w:t>
      </w:r>
      <w:r w:rsidR="00EB7C34">
        <w:rPr>
          <w:rFonts w:ascii="Arial" w:eastAsiaTheme="minorEastAsia" w:hAnsi="Arial" w:cs="Arial"/>
          <w:color w:val="231F20"/>
          <w:kern w:val="0"/>
          <w:sz w:val="20"/>
          <w:szCs w:val="20"/>
        </w:rPr>
        <w:t>95% confidence interval</w:t>
      </w:r>
    </w:p>
    <w:p w14:paraId="28D16C77" w14:textId="7D595050" w:rsidR="0062420F" w:rsidRPr="00E16EC1" w:rsidRDefault="00CD0FE8" w:rsidP="0062420F">
      <w:pPr>
        <w:widowControl/>
        <w:spacing w:line="360" w:lineRule="auto"/>
        <w:jc w:val="left"/>
        <w:rPr>
          <w:rFonts w:ascii="Arial" w:eastAsiaTheme="minorEastAsia" w:hAnsi="Arial" w:cs="Arial"/>
          <w:color w:val="231F20"/>
          <w:kern w:val="0"/>
          <w:sz w:val="16"/>
          <w:szCs w:val="16"/>
        </w:rPr>
      </w:pPr>
      <w:r>
        <w:rPr>
          <w:rFonts w:ascii="Arial" w:eastAsiaTheme="minorEastAsia" w:hAnsi="Arial" w:cs="Arial"/>
          <w:color w:val="231F20"/>
          <w:kern w:val="0"/>
          <w:sz w:val="20"/>
          <w:szCs w:val="20"/>
        </w:rPr>
        <w:t>CRPP</w:t>
      </w:r>
      <w:r>
        <w:rPr>
          <w:rFonts w:ascii="Arial" w:eastAsiaTheme="minorEastAsia" w:hAnsi="Arial" w:cs="Arial" w:hint="eastAsia"/>
          <w:color w:val="231F20"/>
          <w:kern w:val="0"/>
          <w:sz w:val="20"/>
          <w:szCs w:val="20"/>
        </w:rPr>
        <w:t xml:space="preserve">, </w:t>
      </w:r>
      <w:r w:rsidR="0062420F" w:rsidRPr="00EE44BB">
        <w:rPr>
          <w:rFonts w:ascii="Arial" w:eastAsiaTheme="minorEastAsia" w:hAnsi="Arial" w:cs="Arial"/>
          <w:color w:val="231F20"/>
          <w:kern w:val="0"/>
          <w:sz w:val="20"/>
          <w:szCs w:val="20"/>
        </w:rPr>
        <w:t>Cardiac rehabilitation and prevention program</w:t>
      </w:r>
    </w:p>
    <w:p w14:paraId="7D3575C4" w14:textId="5D0B471A" w:rsidR="009B6F2B" w:rsidRDefault="00742CEB">
      <w:pPr>
        <w:widowControl/>
        <w:jc w:val="left"/>
        <w:rPr>
          <w:rFonts w:ascii="Arial" w:hAnsi="Arial" w:cs="Arial"/>
          <w:b/>
          <w:szCs w:val="21"/>
        </w:rPr>
        <w:sectPr w:rsidR="009B6F2B" w:rsidSect="00236C9F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4BB10FBF" w14:textId="269BDF1B" w:rsidR="009B6F2B" w:rsidRDefault="009B6F2B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Supplementary Material Table 3: </w:t>
      </w:r>
      <w:r w:rsidRPr="00377491">
        <w:rPr>
          <w:rFonts w:ascii="Times New Roman" w:hAnsi="Times New Roman"/>
          <w:b/>
          <w:sz w:val="24"/>
          <w:szCs w:val="24"/>
        </w:rPr>
        <w:t xml:space="preserve">Patient characteristics </w:t>
      </w:r>
      <w:r>
        <w:rPr>
          <w:rFonts w:ascii="Times New Roman" w:hAnsi="Times New Roman"/>
          <w:b/>
          <w:sz w:val="24"/>
          <w:szCs w:val="24"/>
        </w:rPr>
        <w:t>in</w:t>
      </w:r>
      <w:r w:rsidRPr="00377491">
        <w:rPr>
          <w:rFonts w:ascii="Times New Roman" w:hAnsi="Times New Roman"/>
          <w:b/>
          <w:sz w:val="24"/>
          <w:szCs w:val="24"/>
        </w:rPr>
        <w:t xml:space="preserve"> selected studies by systematic review</w:t>
      </w:r>
    </w:p>
    <w:tbl>
      <w:tblPr>
        <w:tblStyle w:val="ad"/>
        <w:tblpPr w:leftFromText="142" w:rightFromText="142" w:vertAnchor="text" w:horzAnchor="margin" w:tblpXSpec="center" w:tblpY="632"/>
        <w:tblOverlap w:val="never"/>
        <w:tblW w:w="8540" w:type="dxa"/>
        <w:tblLook w:val="04A0" w:firstRow="1" w:lastRow="0" w:firstColumn="1" w:lastColumn="0" w:noHBand="0" w:noVBand="1"/>
      </w:tblPr>
      <w:tblGrid>
        <w:gridCol w:w="2019"/>
        <w:gridCol w:w="2440"/>
        <w:gridCol w:w="2238"/>
        <w:gridCol w:w="1843"/>
      </w:tblGrid>
      <w:tr w:rsidR="0038328D" w:rsidRPr="00377491" w14:paraId="4EF8FBC1" w14:textId="77777777" w:rsidTr="0038328D">
        <w:trPr>
          <w:trHeight w:val="450"/>
        </w:trPr>
        <w:tc>
          <w:tcPr>
            <w:tcW w:w="2019" w:type="dxa"/>
            <w:vAlign w:val="center"/>
            <w:hideMark/>
          </w:tcPr>
          <w:p w14:paraId="3C954CB7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Study</w:t>
            </w:r>
          </w:p>
        </w:tc>
        <w:tc>
          <w:tcPr>
            <w:tcW w:w="2440" w:type="dxa"/>
            <w:vAlign w:val="center"/>
            <w:hideMark/>
          </w:tcPr>
          <w:p w14:paraId="46ACDF3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2238" w:type="dxa"/>
            <w:vAlign w:val="center"/>
            <w:hideMark/>
          </w:tcPr>
          <w:p w14:paraId="70FD5AC3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CR arm</w:t>
            </w:r>
          </w:p>
          <w:p w14:paraId="428FD3B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1843" w:type="dxa"/>
            <w:vAlign w:val="center"/>
            <w:hideMark/>
          </w:tcPr>
          <w:p w14:paraId="22BADEE4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UC arm</w:t>
            </w:r>
          </w:p>
          <w:p w14:paraId="7605938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n (%)</w:t>
            </w:r>
          </w:p>
        </w:tc>
      </w:tr>
      <w:tr w:rsidR="0038328D" w:rsidRPr="00377491" w14:paraId="32778A96" w14:textId="77777777" w:rsidTr="0038328D">
        <w:trPr>
          <w:trHeight w:val="1170"/>
        </w:trPr>
        <w:tc>
          <w:tcPr>
            <w:tcW w:w="2019" w:type="dxa"/>
            <w:vMerge w:val="restart"/>
            <w:vAlign w:val="center"/>
            <w:hideMark/>
          </w:tcPr>
          <w:p w14:paraId="40DEFBF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Oldridge, 1993, Canada</w:t>
            </w:r>
          </w:p>
        </w:tc>
        <w:tc>
          <w:tcPr>
            <w:tcW w:w="2440" w:type="dxa"/>
            <w:hideMark/>
          </w:tcPr>
          <w:p w14:paraId="45763A28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AMI site</w:t>
            </w: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Anterior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In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erior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Posterior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Indefinite</w:t>
            </w:r>
          </w:p>
        </w:tc>
        <w:tc>
          <w:tcPr>
            <w:tcW w:w="2238" w:type="dxa"/>
            <w:hideMark/>
          </w:tcPr>
          <w:p w14:paraId="63A1E62C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36 (36)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55 (55)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5 (5)</w:t>
            </w:r>
          </w:p>
        </w:tc>
        <w:tc>
          <w:tcPr>
            <w:tcW w:w="1843" w:type="dxa"/>
            <w:hideMark/>
          </w:tcPr>
          <w:p w14:paraId="5508176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34 (33)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56 (55)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8 (8)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5 (5)</w:t>
            </w:r>
          </w:p>
        </w:tc>
      </w:tr>
      <w:tr w:rsidR="0038328D" w:rsidRPr="00377491" w14:paraId="789DE480" w14:textId="77777777" w:rsidTr="0038328D">
        <w:trPr>
          <w:trHeight w:val="540"/>
        </w:trPr>
        <w:tc>
          <w:tcPr>
            <w:tcW w:w="2019" w:type="dxa"/>
            <w:vMerge/>
            <w:vAlign w:val="center"/>
            <w:hideMark/>
          </w:tcPr>
          <w:p w14:paraId="2F0C7C1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0D01C299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Previous history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AMI</w:t>
            </w:r>
          </w:p>
        </w:tc>
        <w:tc>
          <w:tcPr>
            <w:tcW w:w="2238" w:type="dxa"/>
            <w:hideMark/>
          </w:tcPr>
          <w:p w14:paraId="17931032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17 (17)</w:t>
            </w:r>
          </w:p>
        </w:tc>
        <w:tc>
          <w:tcPr>
            <w:tcW w:w="1843" w:type="dxa"/>
            <w:hideMark/>
          </w:tcPr>
          <w:p w14:paraId="7FE112D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18 (17)</w:t>
            </w:r>
          </w:p>
        </w:tc>
      </w:tr>
      <w:tr w:rsidR="0038328D" w:rsidRPr="00377491" w14:paraId="4DCFE4F9" w14:textId="77777777" w:rsidTr="0038328D">
        <w:trPr>
          <w:trHeight w:val="735"/>
        </w:trPr>
        <w:tc>
          <w:tcPr>
            <w:tcW w:w="2019" w:type="dxa"/>
            <w:vMerge w:val="restart"/>
            <w:vAlign w:val="center"/>
            <w:hideMark/>
          </w:tcPr>
          <w:p w14:paraId="5C540D7E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Yu, 2004, China</w:t>
            </w:r>
          </w:p>
        </w:tc>
        <w:tc>
          <w:tcPr>
            <w:tcW w:w="2440" w:type="dxa"/>
            <w:hideMark/>
          </w:tcPr>
          <w:p w14:paraId="1F96728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Indication for </w:t>
            </w: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CRPP</w:t>
            </w: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Myocardial infarction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PCI</w:t>
            </w:r>
          </w:p>
        </w:tc>
        <w:tc>
          <w:tcPr>
            <w:tcW w:w="2238" w:type="dxa"/>
            <w:hideMark/>
          </w:tcPr>
          <w:p w14:paraId="69B40053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14:paraId="397D7035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 (71)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52 (29)</w:t>
            </w:r>
          </w:p>
        </w:tc>
        <w:tc>
          <w:tcPr>
            <w:tcW w:w="1843" w:type="dxa"/>
            <w:hideMark/>
          </w:tcPr>
          <w:p w14:paraId="1C4664FE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14:paraId="539D1F8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 (73)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24 (27)</w:t>
            </w:r>
          </w:p>
        </w:tc>
      </w:tr>
      <w:tr w:rsidR="0038328D" w:rsidRPr="00377491" w14:paraId="309D4256" w14:textId="77777777" w:rsidTr="0038328D">
        <w:trPr>
          <w:trHeight w:val="2175"/>
        </w:trPr>
        <w:tc>
          <w:tcPr>
            <w:tcW w:w="2019" w:type="dxa"/>
            <w:vMerge/>
            <w:vAlign w:val="center"/>
            <w:hideMark/>
          </w:tcPr>
          <w:p w14:paraId="3B8FF741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1D0D4771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Medications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Thrombolytic therapy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Antiplatelet drugs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β-blockers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14:paraId="217A70D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Calcium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channel blockers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Nitrates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Statin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ACE inhibitors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Diuretics</w:t>
            </w:r>
          </w:p>
          <w:p w14:paraId="71472006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Oral hypoglycemic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2238" w:type="dxa"/>
            <w:hideMark/>
          </w:tcPr>
          <w:p w14:paraId="50A46A0F" w14:textId="77777777" w:rsidR="0038328D" w:rsidRPr="00377491" w:rsidRDefault="0038328D" w:rsidP="0038328D">
            <w:pPr>
              <w:widowControl/>
              <w:ind w:leftChars="-40" w:left="156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61 (49)</w:t>
            </w:r>
          </w:p>
          <w:p w14:paraId="4E85A03C" w14:textId="77777777" w:rsidR="0038328D" w:rsidRDefault="0038328D" w:rsidP="0038328D">
            <w:pPr>
              <w:widowControl/>
              <w:ind w:leftChars="10" w:left="21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179 (99)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129 (71)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  <w:p w14:paraId="7760EF04" w14:textId="77777777" w:rsidR="0038328D" w:rsidRPr="00377491" w:rsidRDefault="0038328D" w:rsidP="0038328D">
            <w:pPr>
              <w:widowControl/>
              <w:ind w:leftChars="10" w:left="21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 (20)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106 (59)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119 (66)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119 (64)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38 (21)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69 (69)</w:t>
            </w:r>
          </w:p>
        </w:tc>
        <w:tc>
          <w:tcPr>
            <w:tcW w:w="1843" w:type="dxa"/>
            <w:hideMark/>
          </w:tcPr>
          <w:p w14:paraId="5CBE68C2" w14:textId="77777777" w:rsidR="0038328D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22 (36)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87 (99)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66 (75)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14:paraId="0FC5C182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 (16)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57 (65)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49 (56)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53 (60)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11 (13)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39 (78)</w:t>
            </w:r>
          </w:p>
        </w:tc>
      </w:tr>
      <w:tr w:rsidR="0038328D" w:rsidRPr="00377491" w14:paraId="30FC8F57" w14:textId="77777777" w:rsidTr="0038328D">
        <w:trPr>
          <w:trHeight w:val="1185"/>
        </w:trPr>
        <w:tc>
          <w:tcPr>
            <w:tcW w:w="2019" w:type="dxa"/>
            <w:vMerge/>
            <w:vAlign w:val="center"/>
            <w:hideMark/>
          </w:tcPr>
          <w:p w14:paraId="1C06BA3B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49232CDE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Comorbidities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Smok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ing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Hypertension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Hyperlipidemia 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Diabetes</w:t>
            </w:r>
          </w:p>
        </w:tc>
        <w:tc>
          <w:tcPr>
            <w:tcW w:w="2238" w:type="dxa"/>
            <w:hideMark/>
          </w:tcPr>
          <w:p w14:paraId="657D2CC5" w14:textId="77777777" w:rsidR="0038328D" w:rsidRPr="00377491" w:rsidRDefault="0038328D" w:rsidP="0038328D">
            <w:pPr>
              <w:widowControl/>
              <w:ind w:left="120" w:hangingChars="50" w:hanging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72 (40)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84 (46)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85 (47)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49 (27)</w:t>
            </w:r>
          </w:p>
        </w:tc>
        <w:tc>
          <w:tcPr>
            <w:tcW w:w="1843" w:type="dxa"/>
            <w:hideMark/>
          </w:tcPr>
          <w:p w14:paraId="0E2B5F88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36 (42)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37 (43)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39 (45)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26 (30)</w:t>
            </w:r>
          </w:p>
        </w:tc>
      </w:tr>
      <w:tr w:rsidR="0038328D" w:rsidRPr="00377491" w14:paraId="51527700" w14:textId="77777777" w:rsidTr="0038328D">
        <w:trPr>
          <w:trHeight w:val="1620"/>
        </w:trPr>
        <w:tc>
          <w:tcPr>
            <w:tcW w:w="2019" w:type="dxa"/>
            <w:vMerge w:val="restart"/>
            <w:vAlign w:val="center"/>
            <w:hideMark/>
          </w:tcPr>
          <w:p w14:paraId="6413D98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Briffa, 2005, Australia</w:t>
            </w:r>
          </w:p>
        </w:tc>
        <w:tc>
          <w:tcPr>
            <w:tcW w:w="2440" w:type="dxa"/>
            <w:hideMark/>
          </w:tcPr>
          <w:p w14:paraId="688C7FC8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Clinical details on index admission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AMI</w:t>
            </w:r>
          </w:p>
          <w:p w14:paraId="710F0BE5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Unstable angina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Thrombolytic therapy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PCI/CABG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Prior AMI,PCI,CABG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Prior CR</w:t>
            </w:r>
          </w:p>
        </w:tc>
        <w:tc>
          <w:tcPr>
            <w:tcW w:w="2238" w:type="dxa"/>
            <w:hideMark/>
          </w:tcPr>
          <w:p w14:paraId="6948542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6D0BDF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21(37)</w:t>
            </w:r>
          </w:p>
          <w:p w14:paraId="6114CB9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 (63)</w:t>
            </w:r>
          </w:p>
          <w:p w14:paraId="75D2C999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8 (14)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34 (60)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21 (37)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(5)</w:t>
            </w:r>
          </w:p>
        </w:tc>
        <w:tc>
          <w:tcPr>
            <w:tcW w:w="1843" w:type="dxa"/>
            <w:hideMark/>
          </w:tcPr>
          <w:p w14:paraId="328CF4C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6498773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27(48)</w:t>
            </w:r>
          </w:p>
          <w:p w14:paraId="4821BCB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 (52)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14 (25)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26 (46)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28 (50)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(5)</w:t>
            </w:r>
          </w:p>
        </w:tc>
      </w:tr>
      <w:tr w:rsidR="0038328D" w:rsidRPr="00377491" w14:paraId="7636495F" w14:textId="77777777" w:rsidTr="0038328D">
        <w:trPr>
          <w:trHeight w:val="629"/>
        </w:trPr>
        <w:tc>
          <w:tcPr>
            <w:tcW w:w="2019" w:type="dxa"/>
            <w:vMerge/>
            <w:hideMark/>
          </w:tcPr>
          <w:p w14:paraId="63AC1AC2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5C8B638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Medications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Aspirin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Antiarrhythmic agent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β-blocker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ACE inhibitor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Calcium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channel blockers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Long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acting nitrate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Diuretic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Insulin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Hypolipidemic agent 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Oral hypoglycemic </w:t>
            </w:r>
          </w:p>
        </w:tc>
        <w:tc>
          <w:tcPr>
            <w:tcW w:w="2238" w:type="dxa"/>
            <w:hideMark/>
          </w:tcPr>
          <w:p w14:paraId="6A77520B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53 (93)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(5)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35 (61)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15 (26)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15 (26)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32 (56)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6 (11)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2 (4)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16 (28)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(5)</w:t>
            </w:r>
          </w:p>
        </w:tc>
        <w:tc>
          <w:tcPr>
            <w:tcW w:w="1843" w:type="dxa"/>
            <w:hideMark/>
          </w:tcPr>
          <w:p w14:paraId="7E935BD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50 (89)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5 (9)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36 (64)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17 (30)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22 (39)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34 (61)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6 (11)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4 (7)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12 (21)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3 (5)</w:t>
            </w:r>
          </w:p>
        </w:tc>
      </w:tr>
      <w:tr w:rsidR="0038328D" w:rsidRPr="00377491" w14:paraId="03DC7679" w14:textId="77777777" w:rsidTr="0038328D">
        <w:trPr>
          <w:trHeight w:val="1515"/>
        </w:trPr>
        <w:tc>
          <w:tcPr>
            <w:tcW w:w="2019" w:type="dxa"/>
            <w:vMerge/>
            <w:hideMark/>
          </w:tcPr>
          <w:p w14:paraId="1BA9C9A9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5BAA0D8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Coronary risk factors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Family history of coronary artery disease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Hypercholesterolemia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Hypertension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Current smoker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Diabetes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Obesity</w:t>
            </w:r>
          </w:p>
        </w:tc>
        <w:tc>
          <w:tcPr>
            <w:tcW w:w="2238" w:type="dxa"/>
            <w:hideMark/>
          </w:tcPr>
          <w:p w14:paraId="25D578D7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09899B9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13 (23)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25 (44)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25 (44)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17 (30)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6 (11)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4 (7)</w:t>
            </w:r>
          </w:p>
        </w:tc>
        <w:tc>
          <w:tcPr>
            <w:tcW w:w="1843" w:type="dxa"/>
            <w:hideMark/>
          </w:tcPr>
          <w:p w14:paraId="7F21936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6213AE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13 (23)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26 (46)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29 (52)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20 (36)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 xml:space="preserve"> 9 (16)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12 (23)</w:t>
            </w:r>
          </w:p>
        </w:tc>
      </w:tr>
      <w:tr w:rsidR="0038328D" w:rsidRPr="00377491" w14:paraId="7ECA521C" w14:textId="77777777" w:rsidTr="0038328D">
        <w:trPr>
          <w:trHeight w:val="883"/>
        </w:trPr>
        <w:tc>
          <w:tcPr>
            <w:tcW w:w="2019" w:type="dxa"/>
            <w:vMerge w:val="restart"/>
          </w:tcPr>
          <w:p w14:paraId="3BB9C44B" w14:textId="176AABA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Hautala, </w:t>
            </w:r>
            <w:r w:rsidR="00A24DA2"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</w:t>
            </w:r>
            <w:r w:rsidR="00A24D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Finland</w:t>
            </w:r>
          </w:p>
        </w:tc>
        <w:tc>
          <w:tcPr>
            <w:tcW w:w="2440" w:type="dxa"/>
          </w:tcPr>
          <w:p w14:paraId="60AC3DE5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History of AMI</w:t>
            </w:r>
          </w:p>
          <w:p w14:paraId="4ACF736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NSTEMI</w:t>
            </w:r>
          </w:p>
          <w:p w14:paraId="138BF265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STEMI</w:t>
            </w:r>
          </w:p>
        </w:tc>
        <w:tc>
          <w:tcPr>
            <w:tcW w:w="2238" w:type="dxa"/>
          </w:tcPr>
          <w:p w14:paraId="7ADEBF57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E5F64B7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(48)</w:t>
            </w:r>
          </w:p>
          <w:p w14:paraId="3CA7A0E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 (45)</w:t>
            </w:r>
          </w:p>
        </w:tc>
        <w:tc>
          <w:tcPr>
            <w:tcW w:w="1843" w:type="dxa"/>
          </w:tcPr>
          <w:p w14:paraId="05D50216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57BDA7A2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 (58)</w:t>
            </w:r>
          </w:p>
          <w:p w14:paraId="21D4E10C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 (36)</w:t>
            </w:r>
          </w:p>
        </w:tc>
      </w:tr>
      <w:tr w:rsidR="0038328D" w:rsidRPr="00377491" w14:paraId="48055662" w14:textId="77777777" w:rsidTr="0038328D">
        <w:trPr>
          <w:trHeight w:val="838"/>
        </w:trPr>
        <w:tc>
          <w:tcPr>
            <w:tcW w:w="2019" w:type="dxa"/>
            <w:vMerge/>
          </w:tcPr>
          <w:p w14:paraId="32BD0AB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94FC7D9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Revascularization</w:t>
            </w:r>
          </w:p>
          <w:p w14:paraId="24B2955E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PCI</w:t>
            </w:r>
          </w:p>
          <w:p w14:paraId="7219003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Earlier CABG</w:t>
            </w:r>
          </w:p>
        </w:tc>
        <w:tc>
          <w:tcPr>
            <w:tcW w:w="2238" w:type="dxa"/>
          </w:tcPr>
          <w:p w14:paraId="4429A88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0D34050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 (87)</w:t>
            </w:r>
          </w:p>
          <w:p w14:paraId="1FB10B2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 (5)</w:t>
            </w:r>
          </w:p>
        </w:tc>
        <w:tc>
          <w:tcPr>
            <w:tcW w:w="1843" w:type="dxa"/>
          </w:tcPr>
          <w:p w14:paraId="66048597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5685F02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 (87)</w:t>
            </w:r>
          </w:p>
          <w:p w14:paraId="6B5C1E5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 (8)</w:t>
            </w:r>
          </w:p>
        </w:tc>
      </w:tr>
      <w:tr w:rsidR="0038328D" w:rsidRPr="00377491" w14:paraId="328A8A92" w14:textId="77777777" w:rsidTr="0038328D">
        <w:trPr>
          <w:trHeight w:val="1515"/>
        </w:trPr>
        <w:tc>
          <w:tcPr>
            <w:tcW w:w="2019" w:type="dxa"/>
            <w:vMerge/>
          </w:tcPr>
          <w:p w14:paraId="0FCFD8D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3BDEDB8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Medications</w:t>
            </w:r>
          </w:p>
          <w:p w14:paraId="1855883C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β-blocker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ACE inhibitor or ARB</w:t>
            </w:r>
          </w:p>
          <w:p w14:paraId="245817D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Lipids</w:t>
            </w:r>
          </w:p>
          <w:p w14:paraId="6297C68F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Anticoagulants</w:t>
            </w:r>
          </w:p>
          <w:p w14:paraId="73A936E9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Calcium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channel blockers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Nitrates</w:t>
            </w: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Diuretics</w:t>
            </w:r>
          </w:p>
        </w:tc>
        <w:tc>
          <w:tcPr>
            <w:tcW w:w="2238" w:type="dxa"/>
          </w:tcPr>
          <w:p w14:paraId="3DAC761E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C3C1EE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 (83)</w:t>
            </w:r>
          </w:p>
          <w:p w14:paraId="497AAB75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 (90)</w:t>
            </w:r>
          </w:p>
          <w:p w14:paraId="0210870B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 (98)</w:t>
            </w:r>
          </w:p>
          <w:p w14:paraId="4F1954D0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 (100)</w:t>
            </w:r>
          </w:p>
          <w:p w14:paraId="19D782A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 (16)</w:t>
            </w:r>
          </w:p>
          <w:p w14:paraId="7BBC68BB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 (22)</w:t>
            </w:r>
          </w:p>
          <w:p w14:paraId="060AB7E3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 (13)</w:t>
            </w:r>
          </w:p>
        </w:tc>
        <w:tc>
          <w:tcPr>
            <w:tcW w:w="1843" w:type="dxa"/>
          </w:tcPr>
          <w:p w14:paraId="643D2CCB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9EC63D4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 (87)</w:t>
            </w:r>
          </w:p>
          <w:p w14:paraId="1CBE8E11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(86)</w:t>
            </w:r>
          </w:p>
          <w:p w14:paraId="555CD1AE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 (99)</w:t>
            </w:r>
          </w:p>
          <w:p w14:paraId="64E4E031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 (99)</w:t>
            </w:r>
          </w:p>
          <w:p w14:paraId="3B79ABC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 (26)</w:t>
            </w:r>
          </w:p>
          <w:p w14:paraId="45C0451D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 (28)</w:t>
            </w:r>
          </w:p>
          <w:p w14:paraId="7C28567A" w14:textId="77777777" w:rsidR="0038328D" w:rsidRPr="00377491" w:rsidRDefault="0038328D" w:rsidP="003832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74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 (22)</w:t>
            </w:r>
          </w:p>
        </w:tc>
      </w:tr>
    </w:tbl>
    <w:p w14:paraId="57185B9F" w14:textId="77777777" w:rsidR="009B6F2B" w:rsidRDefault="009B6F2B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380C7F0D" w14:textId="29520C5D" w:rsidR="009B6F2B" w:rsidRDefault="009B6F2B">
      <w:pPr>
        <w:widowControl/>
        <w:jc w:val="left"/>
        <w:rPr>
          <w:rFonts w:ascii="Arial" w:hAnsi="Arial" w:cs="Arial"/>
          <w:b/>
          <w:szCs w:val="21"/>
        </w:rPr>
      </w:pPr>
    </w:p>
    <w:p w14:paraId="1F8C075A" w14:textId="5A02CA01" w:rsidR="009B6F2B" w:rsidRDefault="009B6F2B">
      <w:pPr>
        <w:widowControl/>
        <w:jc w:val="left"/>
        <w:rPr>
          <w:rFonts w:ascii="Arial" w:hAnsi="Arial" w:cs="Arial"/>
          <w:b/>
          <w:szCs w:val="21"/>
        </w:rPr>
      </w:pPr>
    </w:p>
    <w:p w14:paraId="07F2CD72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08C0500E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54CBE10E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C85CA3A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3ABDB61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130BD695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4833CA66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05E894B5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469D9B93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7663C9B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182FD6DC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7E527382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3C264E45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4957347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147425D7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46DC61AD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0F9C0903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70125F6D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0BE3C04D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3B550C6F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48CADC95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97D2D4D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423FAF66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2038C063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3C3951C2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7E02575D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3ADE8D76" w14:textId="77777777" w:rsidR="0038328D" w:rsidRDefault="0038328D">
      <w:pPr>
        <w:widowControl/>
        <w:jc w:val="left"/>
        <w:rPr>
          <w:rFonts w:ascii="Arial" w:hAnsi="Arial" w:cs="Arial"/>
          <w:b/>
          <w:szCs w:val="21"/>
        </w:rPr>
      </w:pPr>
    </w:p>
    <w:p w14:paraId="6301C3F9" w14:textId="36031CE9" w:rsidR="009B6F2B" w:rsidRDefault="009B6F2B">
      <w:pPr>
        <w:widowControl/>
        <w:jc w:val="left"/>
        <w:rPr>
          <w:rFonts w:ascii="Arial" w:hAnsi="Arial" w:cs="Arial"/>
          <w:b/>
          <w:szCs w:val="21"/>
        </w:rPr>
      </w:pPr>
    </w:p>
    <w:p w14:paraId="34DE3389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Family history of coronary artery disease: first degree relative aged &lt; 60 years with an acute coronary event</w:t>
      </w:r>
    </w:p>
    <w:p w14:paraId="4B6BDB92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 xml:space="preserve">Hypercholesterolemia: total cholesterol level, </w:t>
      </w:r>
      <w:r w:rsidRPr="0038328D">
        <w:rPr>
          <w:rFonts w:ascii="Cambria Math" w:eastAsia="ＭＳ ゴシック" w:hAnsi="Cambria Math" w:cs="Cambria Math"/>
          <w:szCs w:val="24"/>
        </w:rPr>
        <w:t xml:space="preserve">≥ </w:t>
      </w:r>
      <w:r w:rsidRPr="0038328D">
        <w:rPr>
          <w:rFonts w:ascii="Times New Roman" w:hAnsi="Times New Roman"/>
          <w:szCs w:val="24"/>
        </w:rPr>
        <w:t>4.5mmol/L</w:t>
      </w:r>
    </w:p>
    <w:p w14:paraId="03D350DA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 xml:space="preserve">Hypertension: blood pressure, </w:t>
      </w:r>
      <w:r w:rsidRPr="0038328D">
        <w:rPr>
          <w:rFonts w:ascii="Cambria Math" w:eastAsia="ＭＳ ゴシック" w:hAnsi="Cambria Math" w:cs="Cambria Math"/>
          <w:szCs w:val="24"/>
        </w:rPr>
        <w:t xml:space="preserve">≥ </w:t>
      </w:r>
      <w:r w:rsidRPr="0038328D">
        <w:rPr>
          <w:rFonts w:ascii="Times New Roman" w:hAnsi="Times New Roman"/>
          <w:szCs w:val="24"/>
        </w:rPr>
        <w:t>140/90 mmHg</w:t>
      </w:r>
    </w:p>
    <w:p w14:paraId="5CD16262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 xml:space="preserve">Diabetes: fasting plasma glucose level, </w:t>
      </w:r>
      <w:r w:rsidRPr="0038328D">
        <w:rPr>
          <w:rFonts w:ascii="Cambria Math" w:eastAsia="ＭＳ ゴシック" w:hAnsi="Cambria Math" w:cs="Cambria Math"/>
          <w:szCs w:val="24"/>
        </w:rPr>
        <w:t xml:space="preserve">≥ </w:t>
      </w:r>
      <w:r w:rsidRPr="0038328D">
        <w:rPr>
          <w:rFonts w:ascii="Times New Roman" w:hAnsi="Times New Roman"/>
          <w:szCs w:val="24"/>
        </w:rPr>
        <w:t>7.8 mmol/L</w:t>
      </w:r>
    </w:p>
    <w:p w14:paraId="67B8235D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  <w:vertAlign w:val="superscript"/>
        </w:rPr>
      </w:pPr>
      <w:r w:rsidRPr="0038328D">
        <w:rPr>
          <w:rFonts w:ascii="Times New Roman" w:hAnsi="Times New Roman"/>
          <w:szCs w:val="24"/>
        </w:rPr>
        <w:t>Obesity: body mass index, &gt; 30 kg·m</w:t>
      </w:r>
      <w:r w:rsidRPr="0038328D">
        <w:rPr>
          <w:rFonts w:ascii="Times New Roman" w:hAnsi="Times New Roman"/>
          <w:szCs w:val="24"/>
          <w:vertAlign w:val="superscript"/>
        </w:rPr>
        <w:t>-2</w:t>
      </w:r>
    </w:p>
    <w:p w14:paraId="1E3197DB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CR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cardiac rehabilitation</w:t>
      </w:r>
    </w:p>
    <w:p w14:paraId="6F9B63B4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CRPP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cardiac rehabilitation and prevention programs</w:t>
      </w:r>
    </w:p>
    <w:p w14:paraId="374CE49B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PCI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percutaneous coronary intervention</w:t>
      </w:r>
    </w:p>
    <w:p w14:paraId="1BEADDA9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CABG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coronary artery bypass grafting</w:t>
      </w:r>
    </w:p>
    <w:p w14:paraId="1C465D96" w14:textId="77777777" w:rsidR="0038328D" w:rsidRPr="0038328D" w:rsidRDefault="0038328D" w:rsidP="0038328D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Times New Roman" w:hAnsi="Times New Roman"/>
          <w:szCs w:val="24"/>
        </w:rPr>
      </w:pPr>
      <w:r w:rsidRPr="0038328D">
        <w:rPr>
          <w:rFonts w:ascii="Times New Roman" w:hAnsi="Times New Roman"/>
          <w:szCs w:val="24"/>
        </w:rPr>
        <w:t>NSTEMI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non-ST segment elevation myocardial infarction</w:t>
      </w:r>
    </w:p>
    <w:p w14:paraId="7B97E3AA" w14:textId="174BA726" w:rsidR="0062420F" w:rsidRPr="00456C64" w:rsidRDefault="0038328D" w:rsidP="00456C64">
      <w:pPr>
        <w:autoSpaceDE w:val="0"/>
        <w:autoSpaceDN w:val="0"/>
        <w:adjustRightInd w:val="0"/>
        <w:spacing w:line="480" w:lineRule="auto"/>
        <w:ind w:leftChars="404" w:left="848"/>
        <w:jc w:val="left"/>
        <w:rPr>
          <w:rFonts w:ascii="Arial" w:hAnsi="Arial" w:cs="Arial"/>
          <w:sz w:val="20"/>
          <w:szCs w:val="20"/>
        </w:rPr>
      </w:pPr>
      <w:r w:rsidRPr="0038328D">
        <w:rPr>
          <w:rFonts w:ascii="Times New Roman" w:hAnsi="Times New Roman"/>
          <w:szCs w:val="24"/>
        </w:rPr>
        <w:t>STEMI ST</w:t>
      </w:r>
      <w:r w:rsidRPr="0038328D">
        <w:rPr>
          <w:rFonts w:ascii="Times New Roman" w:hAnsi="Times New Roman" w:hint="eastAsia"/>
          <w:szCs w:val="24"/>
        </w:rPr>
        <w:t>,</w:t>
      </w:r>
      <w:r w:rsidRPr="0038328D">
        <w:rPr>
          <w:rFonts w:ascii="Times New Roman" w:hAnsi="Times New Roman"/>
          <w:szCs w:val="24"/>
        </w:rPr>
        <w:t xml:space="preserve"> segment elevation myocardial infarction.</w:t>
      </w:r>
    </w:p>
    <w:sectPr w:rsidR="0062420F" w:rsidRPr="00456C64" w:rsidSect="009B6F2B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DAB7" w14:textId="77777777" w:rsidR="001E57FC" w:rsidRDefault="001E57FC" w:rsidP="00EB2FA5">
      <w:r>
        <w:separator/>
      </w:r>
    </w:p>
  </w:endnote>
  <w:endnote w:type="continuationSeparator" w:id="0">
    <w:p w14:paraId="46A06ADE" w14:textId="77777777" w:rsidR="001E57FC" w:rsidRDefault="001E57FC" w:rsidP="00E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1767" w14:textId="77777777" w:rsidR="001E57FC" w:rsidRDefault="001E57FC" w:rsidP="00EB2FA5">
      <w:r>
        <w:separator/>
      </w:r>
    </w:p>
  </w:footnote>
  <w:footnote w:type="continuationSeparator" w:id="0">
    <w:p w14:paraId="7CC9A09C" w14:textId="77777777" w:rsidR="001E57FC" w:rsidRDefault="001E57FC" w:rsidP="00EB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17A"/>
    <w:multiLevelType w:val="hybridMultilevel"/>
    <w:tmpl w:val="9DE4CC44"/>
    <w:lvl w:ilvl="0" w:tplc="925A1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B50C0"/>
    <w:multiLevelType w:val="hybridMultilevel"/>
    <w:tmpl w:val="138C6562"/>
    <w:lvl w:ilvl="0" w:tplc="36D859B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782886"/>
    <w:multiLevelType w:val="hybridMultilevel"/>
    <w:tmpl w:val="B6F436E6"/>
    <w:lvl w:ilvl="0" w:tplc="67466A98">
      <w:start w:val="3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01627"/>
    <w:multiLevelType w:val="hybridMultilevel"/>
    <w:tmpl w:val="30466266"/>
    <w:lvl w:ilvl="0" w:tplc="1EA05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E3FC4"/>
    <w:multiLevelType w:val="hybridMultilevel"/>
    <w:tmpl w:val="A092AA78"/>
    <w:lvl w:ilvl="0" w:tplc="AD985448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B47D98"/>
    <w:multiLevelType w:val="hybridMultilevel"/>
    <w:tmpl w:val="F4E0F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C92827"/>
    <w:multiLevelType w:val="hybridMultilevel"/>
    <w:tmpl w:val="24483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A16F06"/>
    <w:multiLevelType w:val="hybridMultilevel"/>
    <w:tmpl w:val="CDD26744"/>
    <w:lvl w:ilvl="0" w:tplc="37807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3136A"/>
    <w:multiLevelType w:val="hybridMultilevel"/>
    <w:tmpl w:val="4F2CAE14"/>
    <w:lvl w:ilvl="0" w:tplc="B92E9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9A5281"/>
    <w:multiLevelType w:val="hybridMultilevel"/>
    <w:tmpl w:val="44F00348"/>
    <w:lvl w:ilvl="0" w:tplc="99782CC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710166"/>
    <w:multiLevelType w:val="hybridMultilevel"/>
    <w:tmpl w:val="2840616E"/>
    <w:lvl w:ilvl="0" w:tplc="319458F6">
      <w:start w:val="1"/>
      <w:numFmt w:val="decimalEnclosedCircle"/>
      <w:lvlText w:val="%1"/>
      <w:lvlJc w:val="left"/>
      <w:pPr>
        <w:ind w:left="540" w:hanging="360"/>
      </w:pPr>
      <w:rPr>
        <w:rFonts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4E5148F6"/>
    <w:multiLevelType w:val="hybridMultilevel"/>
    <w:tmpl w:val="E7CCFB64"/>
    <w:lvl w:ilvl="0" w:tplc="7F04271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37610"/>
    <w:multiLevelType w:val="hybridMultilevel"/>
    <w:tmpl w:val="FA72775A"/>
    <w:lvl w:ilvl="0" w:tplc="C3DC8828">
      <w:start w:val="1"/>
      <w:numFmt w:val="bullet"/>
      <w:lvlText w:val="-"/>
      <w:lvlJc w:val="left"/>
      <w:pPr>
        <w:ind w:left="44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3" w15:restartNumberingAfterBreak="0">
    <w:nsid w:val="6D256E89"/>
    <w:multiLevelType w:val="hybridMultilevel"/>
    <w:tmpl w:val="B6AEC21E"/>
    <w:lvl w:ilvl="0" w:tplc="34C82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A31439"/>
    <w:multiLevelType w:val="hybridMultilevel"/>
    <w:tmpl w:val="EA8A3886"/>
    <w:lvl w:ilvl="0" w:tplc="770CA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F5F43"/>
    <w:multiLevelType w:val="hybridMultilevel"/>
    <w:tmpl w:val="57BEAF9C"/>
    <w:lvl w:ilvl="0" w:tplc="A0B488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2ztaaad0eddwsevwr5pp2pk9t095azvw0s5&quot;&gt;My EndNote Library&lt;record-ids&gt;&lt;item&gt;5&lt;/item&gt;&lt;item&gt;38&lt;/item&gt;&lt;item&gt;313&lt;/item&gt;&lt;item&gt;472&lt;/item&gt;&lt;item&gt;487&lt;/item&gt;&lt;/record-ids&gt;&lt;/item&gt;&lt;/Libraries&gt;"/>
  </w:docVars>
  <w:rsids>
    <w:rsidRoot w:val="00E7546A"/>
    <w:rsid w:val="0000161A"/>
    <w:rsid w:val="0000192D"/>
    <w:rsid w:val="00010410"/>
    <w:rsid w:val="0001297A"/>
    <w:rsid w:val="00013F9E"/>
    <w:rsid w:val="00014183"/>
    <w:rsid w:val="0002190D"/>
    <w:rsid w:val="00022F78"/>
    <w:rsid w:val="00023E31"/>
    <w:rsid w:val="00024948"/>
    <w:rsid w:val="000301E3"/>
    <w:rsid w:val="0003086F"/>
    <w:rsid w:val="00032C7E"/>
    <w:rsid w:val="00036780"/>
    <w:rsid w:val="00040338"/>
    <w:rsid w:val="0004702E"/>
    <w:rsid w:val="00050548"/>
    <w:rsid w:val="00053473"/>
    <w:rsid w:val="00060ACB"/>
    <w:rsid w:val="00062B52"/>
    <w:rsid w:val="000666AF"/>
    <w:rsid w:val="000704E7"/>
    <w:rsid w:val="00072FFD"/>
    <w:rsid w:val="00075A23"/>
    <w:rsid w:val="00076F17"/>
    <w:rsid w:val="00077282"/>
    <w:rsid w:val="000813C3"/>
    <w:rsid w:val="00084720"/>
    <w:rsid w:val="00084852"/>
    <w:rsid w:val="00085E76"/>
    <w:rsid w:val="00090833"/>
    <w:rsid w:val="00091AF8"/>
    <w:rsid w:val="00092F65"/>
    <w:rsid w:val="000A3485"/>
    <w:rsid w:val="000B0E08"/>
    <w:rsid w:val="000B3E7F"/>
    <w:rsid w:val="000B5504"/>
    <w:rsid w:val="000B6EAB"/>
    <w:rsid w:val="000C3504"/>
    <w:rsid w:val="000C57AF"/>
    <w:rsid w:val="000D2549"/>
    <w:rsid w:val="000D3960"/>
    <w:rsid w:val="000D77ED"/>
    <w:rsid w:val="000E015F"/>
    <w:rsid w:val="000E18C1"/>
    <w:rsid w:val="000E2626"/>
    <w:rsid w:val="000E4781"/>
    <w:rsid w:val="000E5A97"/>
    <w:rsid w:val="000E7997"/>
    <w:rsid w:val="000F17A1"/>
    <w:rsid w:val="000F25FA"/>
    <w:rsid w:val="00100AAE"/>
    <w:rsid w:val="00100CFB"/>
    <w:rsid w:val="0010297A"/>
    <w:rsid w:val="001031BB"/>
    <w:rsid w:val="00103614"/>
    <w:rsid w:val="00106458"/>
    <w:rsid w:val="00111847"/>
    <w:rsid w:val="0011279B"/>
    <w:rsid w:val="001127C9"/>
    <w:rsid w:val="00113928"/>
    <w:rsid w:val="00116F42"/>
    <w:rsid w:val="00122848"/>
    <w:rsid w:val="00123327"/>
    <w:rsid w:val="001237D0"/>
    <w:rsid w:val="00126C3A"/>
    <w:rsid w:val="00127BC8"/>
    <w:rsid w:val="00131BCC"/>
    <w:rsid w:val="00131EB8"/>
    <w:rsid w:val="0013274A"/>
    <w:rsid w:val="00133EA1"/>
    <w:rsid w:val="00133F53"/>
    <w:rsid w:val="001378A7"/>
    <w:rsid w:val="00140A08"/>
    <w:rsid w:val="001457F8"/>
    <w:rsid w:val="00163448"/>
    <w:rsid w:val="001656B5"/>
    <w:rsid w:val="0017020E"/>
    <w:rsid w:val="00170880"/>
    <w:rsid w:val="00174125"/>
    <w:rsid w:val="00191DE3"/>
    <w:rsid w:val="00193B74"/>
    <w:rsid w:val="00194235"/>
    <w:rsid w:val="001961B3"/>
    <w:rsid w:val="001A1353"/>
    <w:rsid w:val="001A2329"/>
    <w:rsid w:val="001A5A35"/>
    <w:rsid w:val="001B345A"/>
    <w:rsid w:val="001B5FB4"/>
    <w:rsid w:val="001B7F13"/>
    <w:rsid w:val="001C0203"/>
    <w:rsid w:val="001C2880"/>
    <w:rsid w:val="001C3C84"/>
    <w:rsid w:val="001C76D8"/>
    <w:rsid w:val="001C7D43"/>
    <w:rsid w:val="001C7F00"/>
    <w:rsid w:val="001D1630"/>
    <w:rsid w:val="001D453F"/>
    <w:rsid w:val="001D6302"/>
    <w:rsid w:val="001D7510"/>
    <w:rsid w:val="001E0BB2"/>
    <w:rsid w:val="001E2869"/>
    <w:rsid w:val="001E2C49"/>
    <w:rsid w:val="001E57FC"/>
    <w:rsid w:val="001F119F"/>
    <w:rsid w:val="001F5CD3"/>
    <w:rsid w:val="001F7B22"/>
    <w:rsid w:val="001F7E70"/>
    <w:rsid w:val="002019BB"/>
    <w:rsid w:val="002036E0"/>
    <w:rsid w:val="00204921"/>
    <w:rsid w:val="002074C5"/>
    <w:rsid w:val="00207BF1"/>
    <w:rsid w:val="00212008"/>
    <w:rsid w:val="00212297"/>
    <w:rsid w:val="00215F24"/>
    <w:rsid w:val="00221691"/>
    <w:rsid w:val="002230CD"/>
    <w:rsid w:val="0022636B"/>
    <w:rsid w:val="00232471"/>
    <w:rsid w:val="002337D9"/>
    <w:rsid w:val="00234367"/>
    <w:rsid w:val="00236C9F"/>
    <w:rsid w:val="00240FE1"/>
    <w:rsid w:val="00243CE0"/>
    <w:rsid w:val="0024693F"/>
    <w:rsid w:val="00250663"/>
    <w:rsid w:val="002509A3"/>
    <w:rsid w:val="00251E73"/>
    <w:rsid w:val="00254DF9"/>
    <w:rsid w:val="002559A7"/>
    <w:rsid w:val="0026180F"/>
    <w:rsid w:val="00261E4B"/>
    <w:rsid w:val="0026357E"/>
    <w:rsid w:val="0026426E"/>
    <w:rsid w:val="00266D74"/>
    <w:rsid w:val="00267097"/>
    <w:rsid w:val="0028363F"/>
    <w:rsid w:val="00284DF9"/>
    <w:rsid w:val="00286BB2"/>
    <w:rsid w:val="002925A7"/>
    <w:rsid w:val="00294553"/>
    <w:rsid w:val="00295742"/>
    <w:rsid w:val="002965E4"/>
    <w:rsid w:val="002978EA"/>
    <w:rsid w:val="002A42AB"/>
    <w:rsid w:val="002A6EC7"/>
    <w:rsid w:val="002B1535"/>
    <w:rsid w:val="002B2695"/>
    <w:rsid w:val="002B466E"/>
    <w:rsid w:val="002B66C2"/>
    <w:rsid w:val="002C2A22"/>
    <w:rsid w:val="002C41B9"/>
    <w:rsid w:val="002C5936"/>
    <w:rsid w:val="002D20A2"/>
    <w:rsid w:val="002D20DC"/>
    <w:rsid w:val="002D2F7E"/>
    <w:rsid w:val="002D3D55"/>
    <w:rsid w:val="002E3743"/>
    <w:rsid w:val="002F01DB"/>
    <w:rsid w:val="002F425C"/>
    <w:rsid w:val="002F6038"/>
    <w:rsid w:val="002F75E6"/>
    <w:rsid w:val="00300D9A"/>
    <w:rsid w:val="00301012"/>
    <w:rsid w:val="00301A74"/>
    <w:rsid w:val="00301B52"/>
    <w:rsid w:val="00307006"/>
    <w:rsid w:val="003070C9"/>
    <w:rsid w:val="003117EC"/>
    <w:rsid w:val="0031191E"/>
    <w:rsid w:val="003166BB"/>
    <w:rsid w:val="00317C28"/>
    <w:rsid w:val="00317F93"/>
    <w:rsid w:val="0032181E"/>
    <w:rsid w:val="003218EE"/>
    <w:rsid w:val="00331372"/>
    <w:rsid w:val="0033148C"/>
    <w:rsid w:val="00340126"/>
    <w:rsid w:val="0034176D"/>
    <w:rsid w:val="00343BEA"/>
    <w:rsid w:val="0034532A"/>
    <w:rsid w:val="003462F9"/>
    <w:rsid w:val="00352359"/>
    <w:rsid w:val="00356CB7"/>
    <w:rsid w:val="00363301"/>
    <w:rsid w:val="00364A46"/>
    <w:rsid w:val="003661DE"/>
    <w:rsid w:val="00366AD6"/>
    <w:rsid w:val="00370C64"/>
    <w:rsid w:val="00377247"/>
    <w:rsid w:val="00377513"/>
    <w:rsid w:val="00377DFE"/>
    <w:rsid w:val="0038328D"/>
    <w:rsid w:val="00383A1C"/>
    <w:rsid w:val="00384421"/>
    <w:rsid w:val="00385EF9"/>
    <w:rsid w:val="00385F21"/>
    <w:rsid w:val="0039061F"/>
    <w:rsid w:val="00393FFA"/>
    <w:rsid w:val="00394333"/>
    <w:rsid w:val="003950B7"/>
    <w:rsid w:val="003A0BDC"/>
    <w:rsid w:val="003A1E8E"/>
    <w:rsid w:val="003A307B"/>
    <w:rsid w:val="003A4539"/>
    <w:rsid w:val="003A744A"/>
    <w:rsid w:val="003B2F3A"/>
    <w:rsid w:val="003C374C"/>
    <w:rsid w:val="003C5704"/>
    <w:rsid w:val="003C65DD"/>
    <w:rsid w:val="003C70AB"/>
    <w:rsid w:val="003C7209"/>
    <w:rsid w:val="003D003C"/>
    <w:rsid w:val="003D426D"/>
    <w:rsid w:val="003D7FBB"/>
    <w:rsid w:val="003E4EB0"/>
    <w:rsid w:val="003E4FAE"/>
    <w:rsid w:val="003F1C84"/>
    <w:rsid w:val="003F772E"/>
    <w:rsid w:val="004033A1"/>
    <w:rsid w:val="004068AE"/>
    <w:rsid w:val="00410818"/>
    <w:rsid w:val="00412A05"/>
    <w:rsid w:val="004138DC"/>
    <w:rsid w:val="0041690D"/>
    <w:rsid w:val="00417D2F"/>
    <w:rsid w:val="00426685"/>
    <w:rsid w:val="00426CA0"/>
    <w:rsid w:val="00426ED5"/>
    <w:rsid w:val="00430FFD"/>
    <w:rsid w:val="00433660"/>
    <w:rsid w:val="00437B56"/>
    <w:rsid w:val="0044034A"/>
    <w:rsid w:val="004425DD"/>
    <w:rsid w:val="00450FB5"/>
    <w:rsid w:val="00452B27"/>
    <w:rsid w:val="00454B9B"/>
    <w:rsid w:val="00456C64"/>
    <w:rsid w:val="00460946"/>
    <w:rsid w:val="004617DD"/>
    <w:rsid w:val="00461817"/>
    <w:rsid w:val="00462384"/>
    <w:rsid w:val="004638C4"/>
    <w:rsid w:val="0046464F"/>
    <w:rsid w:val="00465BA3"/>
    <w:rsid w:val="00471012"/>
    <w:rsid w:val="00471241"/>
    <w:rsid w:val="00472238"/>
    <w:rsid w:val="00474264"/>
    <w:rsid w:val="004A0B98"/>
    <w:rsid w:val="004A13AE"/>
    <w:rsid w:val="004A15D0"/>
    <w:rsid w:val="004A2686"/>
    <w:rsid w:val="004A4CDC"/>
    <w:rsid w:val="004B1948"/>
    <w:rsid w:val="004B2134"/>
    <w:rsid w:val="004B28BE"/>
    <w:rsid w:val="004B2D08"/>
    <w:rsid w:val="004B4B7F"/>
    <w:rsid w:val="004B655C"/>
    <w:rsid w:val="004B7EDF"/>
    <w:rsid w:val="004C617B"/>
    <w:rsid w:val="004D542C"/>
    <w:rsid w:val="004E0B23"/>
    <w:rsid w:val="004E0C95"/>
    <w:rsid w:val="004E4ADC"/>
    <w:rsid w:val="004E569B"/>
    <w:rsid w:val="004E63D8"/>
    <w:rsid w:val="004F026E"/>
    <w:rsid w:val="004F1278"/>
    <w:rsid w:val="004F1981"/>
    <w:rsid w:val="004F19FB"/>
    <w:rsid w:val="004F35BB"/>
    <w:rsid w:val="004F3DD6"/>
    <w:rsid w:val="004F3DF9"/>
    <w:rsid w:val="004F409B"/>
    <w:rsid w:val="004F4984"/>
    <w:rsid w:val="004F639E"/>
    <w:rsid w:val="004F6F89"/>
    <w:rsid w:val="0050483C"/>
    <w:rsid w:val="00505ADF"/>
    <w:rsid w:val="00512DB5"/>
    <w:rsid w:val="005130B0"/>
    <w:rsid w:val="00516522"/>
    <w:rsid w:val="005173EB"/>
    <w:rsid w:val="00521216"/>
    <w:rsid w:val="005217C3"/>
    <w:rsid w:val="005217EA"/>
    <w:rsid w:val="005220B7"/>
    <w:rsid w:val="00523CC7"/>
    <w:rsid w:val="00526521"/>
    <w:rsid w:val="00527D40"/>
    <w:rsid w:val="00534B39"/>
    <w:rsid w:val="005351EF"/>
    <w:rsid w:val="00536FA2"/>
    <w:rsid w:val="0054311E"/>
    <w:rsid w:val="00543858"/>
    <w:rsid w:val="005445EB"/>
    <w:rsid w:val="00550B43"/>
    <w:rsid w:val="0055116C"/>
    <w:rsid w:val="00552919"/>
    <w:rsid w:val="00552C76"/>
    <w:rsid w:val="005548D9"/>
    <w:rsid w:val="005613D1"/>
    <w:rsid w:val="00561CD5"/>
    <w:rsid w:val="0056288D"/>
    <w:rsid w:val="005659E3"/>
    <w:rsid w:val="00566CF8"/>
    <w:rsid w:val="005675A5"/>
    <w:rsid w:val="0057038D"/>
    <w:rsid w:val="005733FA"/>
    <w:rsid w:val="00576B0B"/>
    <w:rsid w:val="005842C2"/>
    <w:rsid w:val="00585B39"/>
    <w:rsid w:val="00587F2C"/>
    <w:rsid w:val="005921C6"/>
    <w:rsid w:val="00597D99"/>
    <w:rsid w:val="005A022A"/>
    <w:rsid w:val="005A3A3A"/>
    <w:rsid w:val="005A666F"/>
    <w:rsid w:val="005A7995"/>
    <w:rsid w:val="005B06DD"/>
    <w:rsid w:val="005B4FCD"/>
    <w:rsid w:val="005B5787"/>
    <w:rsid w:val="005B59C6"/>
    <w:rsid w:val="005C0B34"/>
    <w:rsid w:val="005C735A"/>
    <w:rsid w:val="005D0741"/>
    <w:rsid w:val="005D4EEA"/>
    <w:rsid w:val="005D52D2"/>
    <w:rsid w:val="005D5521"/>
    <w:rsid w:val="005D7583"/>
    <w:rsid w:val="005E0B51"/>
    <w:rsid w:val="005E16DD"/>
    <w:rsid w:val="005E19C2"/>
    <w:rsid w:val="005E1DEB"/>
    <w:rsid w:val="005E222C"/>
    <w:rsid w:val="005E2E30"/>
    <w:rsid w:val="005E748D"/>
    <w:rsid w:val="005F0323"/>
    <w:rsid w:val="005F1F49"/>
    <w:rsid w:val="005F46DC"/>
    <w:rsid w:val="005F6455"/>
    <w:rsid w:val="005F6E3E"/>
    <w:rsid w:val="00601DAB"/>
    <w:rsid w:val="0060272B"/>
    <w:rsid w:val="00605989"/>
    <w:rsid w:val="00605A5C"/>
    <w:rsid w:val="00605E77"/>
    <w:rsid w:val="006125DC"/>
    <w:rsid w:val="00613D5A"/>
    <w:rsid w:val="00615FF3"/>
    <w:rsid w:val="00616B0C"/>
    <w:rsid w:val="00616DA6"/>
    <w:rsid w:val="00616EE1"/>
    <w:rsid w:val="006174FF"/>
    <w:rsid w:val="00622C73"/>
    <w:rsid w:val="0062420F"/>
    <w:rsid w:val="00625706"/>
    <w:rsid w:val="006275D4"/>
    <w:rsid w:val="00633602"/>
    <w:rsid w:val="006344DB"/>
    <w:rsid w:val="00637BDC"/>
    <w:rsid w:val="0064168A"/>
    <w:rsid w:val="006452E5"/>
    <w:rsid w:val="00645767"/>
    <w:rsid w:val="00650D59"/>
    <w:rsid w:val="00662DDA"/>
    <w:rsid w:val="00663243"/>
    <w:rsid w:val="00663D1C"/>
    <w:rsid w:val="006742BA"/>
    <w:rsid w:val="00676193"/>
    <w:rsid w:val="0068398A"/>
    <w:rsid w:val="00683B5F"/>
    <w:rsid w:val="00683DED"/>
    <w:rsid w:val="006918DD"/>
    <w:rsid w:val="00691F03"/>
    <w:rsid w:val="0069230B"/>
    <w:rsid w:val="00693F9D"/>
    <w:rsid w:val="00696C44"/>
    <w:rsid w:val="006A0E12"/>
    <w:rsid w:val="006A0F30"/>
    <w:rsid w:val="006A40C9"/>
    <w:rsid w:val="006B3E77"/>
    <w:rsid w:val="006B6BFE"/>
    <w:rsid w:val="006B7987"/>
    <w:rsid w:val="006C03A5"/>
    <w:rsid w:val="006C05CE"/>
    <w:rsid w:val="006C2392"/>
    <w:rsid w:val="006C649A"/>
    <w:rsid w:val="006C7019"/>
    <w:rsid w:val="006D3612"/>
    <w:rsid w:val="006D367A"/>
    <w:rsid w:val="006D40CF"/>
    <w:rsid w:val="006D5115"/>
    <w:rsid w:val="006D5237"/>
    <w:rsid w:val="006D6528"/>
    <w:rsid w:val="006D6560"/>
    <w:rsid w:val="006E001F"/>
    <w:rsid w:val="006E1D7B"/>
    <w:rsid w:val="006E218C"/>
    <w:rsid w:val="006E218F"/>
    <w:rsid w:val="006E6441"/>
    <w:rsid w:val="006E664C"/>
    <w:rsid w:val="006F2177"/>
    <w:rsid w:val="006F33FE"/>
    <w:rsid w:val="006F3E07"/>
    <w:rsid w:val="006F4F55"/>
    <w:rsid w:val="00700F7C"/>
    <w:rsid w:val="00701501"/>
    <w:rsid w:val="00702C46"/>
    <w:rsid w:val="00704FC5"/>
    <w:rsid w:val="007051FE"/>
    <w:rsid w:val="00705A8C"/>
    <w:rsid w:val="00710304"/>
    <w:rsid w:val="0071095F"/>
    <w:rsid w:val="00716176"/>
    <w:rsid w:val="00717E99"/>
    <w:rsid w:val="00720F81"/>
    <w:rsid w:val="007237AE"/>
    <w:rsid w:val="007241E1"/>
    <w:rsid w:val="007317F8"/>
    <w:rsid w:val="007328C1"/>
    <w:rsid w:val="00733CC8"/>
    <w:rsid w:val="00734593"/>
    <w:rsid w:val="00734621"/>
    <w:rsid w:val="00736CC7"/>
    <w:rsid w:val="007402D7"/>
    <w:rsid w:val="00741473"/>
    <w:rsid w:val="0074193A"/>
    <w:rsid w:val="00742CEB"/>
    <w:rsid w:val="00746828"/>
    <w:rsid w:val="0074748F"/>
    <w:rsid w:val="00750EFA"/>
    <w:rsid w:val="00751412"/>
    <w:rsid w:val="0075344D"/>
    <w:rsid w:val="00753D1D"/>
    <w:rsid w:val="00754443"/>
    <w:rsid w:val="007553FF"/>
    <w:rsid w:val="00757CA9"/>
    <w:rsid w:val="007602ED"/>
    <w:rsid w:val="00760E1C"/>
    <w:rsid w:val="007654CC"/>
    <w:rsid w:val="00766768"/>
    <w:rsid w:val="0077100C"/>
    <w:rsid w:val="0077110D"/>
    <w:rsid w:val="007729D8"/>
    <w:rsid w:val="0077565A"/>
    <w:rsid w:val="00782146"/>
    <w:rsid w:val="007844FF"/>
    <w:rsid w:val="0078545D"/>
    <w:rsid w:val="007912B7"/>
    <w:rsid w:val="007939E1"/>
    <w:rsid w:val="0079504A"/>
    <w:rsid w:val="00797704"/>
    <w:rsid w:val="007A1EBF"/>
    <w:rsid w:val="007A268F"/>
    <w:rsid w:val="007A6456"/>
    <w:rsid w:val="007B1BB0"/>
    <w:rsid w:val="007C2A13"/>
    <w:rsid w:val="007C33DE"/>
    <w:rsid w:val="007C7F28"/>
    <w:rsid w:val="007D0C09"/>
    <w:rsid w:val="007D1B8D"/>
    <w:rsid w:val="007D5853"/>
    <w:rsid w:val="007D6D66"/>
    <w:rsid w:val="007E37FE"/>
    <w:rsid w:val="007E397B"/>
    <w:rsid w:val="007E684E"/>
    <w:rsid w:val="007F089D"/>
    <w:rsid w:val="007F1925"/>
    <w:rsid w:val="007F227F"/>
    <w:rsid w:val="007F26C9"/>
    <w:rsid w:val="007F3AFE"/>
    <w:rsid w:val="00802541"/>
    <w:rsid w:val="00803BC1"/>
    <w:rsid w:val="00806195"/>
    <w:rsid w:val="00812FDA"/>
    <w:rsid w:val="00816534"/>
    <w:rsid w:val="0082010F"/>
    <w:rsid w:val="00824A00"/>
    <w:rsid w:val="008277C7"/>
    <w:rsid w:val="008300C1"/>
    <w:rsid w:val="008375F7"/>
    <w:rsid w:val="00837C44"/>
    <w:rsid w:val="008436A2"/>
    <w:rsid w:val="00847600"/>
    <w:rsid w:val="008501E1"/>
    <w:rsid w:val="008543A8"/>
    <w:rsid w:val="00854C82"/>
    <w:rsid w:val="00854C9A"/>
    <w:rsid w:val="00861B4F"/>
    <w:rsid w:val="00861E6E"/>
    <w:rsid w:val="00862C7F"/>
    <w:rsid w:val="00863B75"/>
    <w:rsid w:val="00864F09"/>
    <w:rsid w:val="00866AE0"/>
    <w:rsid w:val="008707F1"/>
    <w:rsid w:val="00874407"/>
    <w:rsid w:val="00874497"/>
    <w:rsid w:val="008806A6"/>
    <w:rsid w:val="00880A23"/>
    <w:rsid w:val="00882CD6"/>
    <w:rsid w:val="00884AA1"/>
    <w:rsid w:val="00884B00"/>
    <w:rsid w:val="00885E13"/>
    <w:rsid w:val="008862C8"/>
    <w:rsid w:val="008905EE"/>
    <w:rsid w:val="0089214C"/>
    <w:rsid w:val="00892EE7"/>
    <w:rsid w:val="008A2320"/>
    <w:rsid w:val="008A2559"/>
    <w:rsid w:val="008A3DA7"/>
    <w:rsid w:val="008A7299"/>
    <w:rsid w:val="008B0048"/>
    <w:rsid w:val="008B1DF5"/>
    <w:rsid w:val="008B2029"/>
    <w:rsid w:val="008B50F7"/>
    <w:rsid w:val="008B58C9"/>
    <w:rsid w:val="008B65B1"/>
    <w:rsid w:val="008C08BB"/>
    <w:rsid w:val="008C1BA7"/>
    <w:rsid w:val="008C1FAF"/>
    <w:rsid w:val="008C621A"/>
    <w:rsid w:val="008D066B"/>
    <w:rsid w:val="008D1346"/>
    <w:rsid w:val="008D178F"/>
    <w:rsid w:val="008D2A99"/>
    <w:rsid w:val="008D57BA"/>
    <w:rsid w:val="008D657E"/>
    <w:rsid w:val="008E3E2D"/>
    <w:rsid w:val="008E663B"/>
    <w:rsid w:val="008E6E50"/>
    <w:rsid w:val="008F0F26"/>
    <w:rsid w:val="008F442F"/>
    <w:rsid w:val="00902B8D"/>
    <w:rsid w:val="00902EA4"/>
    <w:rsid w:val="009033E6"/>
    <w:rsid w:val="0090625A"/>
    <w:rsid w:val="009072D5"/>
    <w:rsid w:val="0091012C"/>
    <w:rsid w:val="00917E8F"/>
    <w:rsid w:val="00917FB3"/>
    <w:rsid w:val="00923282"/>
    <w:rsid w:val="009311AF"/>
    <w:rsid w:val="009314E0"/>
    <w:rsid w:val="00931F75"/>
    <w:rsid w:val="009332DC"/>
    <w:rsid w:val="00937C32"/>
    <w:rsid w:val="00942124"/>
    <w:rsid w:val="0094259A"/>
    <w:rsid w:val="009432A1"/>
    <w:rsid w:val="009437E0"/>
    <w:rsid w:val="00945C44"/>
    <w:rsid w:val="00946289"/>
    <w:rsid w:val="0094702F"/>
    <w:rsid w:val="009477F7"/>
    <w:rsid w:val="009532B7"/>
    <w:rsid w:val="00954259"/>
    <w:rsid w:val="00960C09"/>
    <w:rsid w:val="0096210D"/>
    <w:rsid w:val="00970F74"/>
    <w:rsid w:val="00971AFC"/>
    <w:rsid w:val="009736B4"/>
    <w:rsid w:val="00973F83"/>
    <w:rsid w:val="00974EF3"/>
    <w:rsid w:val="0097710B"/>
    <w:rsid w:val="00980504"/>
    <w:rsid w:val="00980C5B"/>
    <w:rsid w:val="00982270"/>
    <w:rsid w:val="00982D50"/>
    <w:rsid w:val="00987761"/>
    <w:rsid w:val="00987CA3"/>
    <w:rsid w:val="00990529"/>
    <w:rsid w:val="009A0C53"/>
    <w:rsid w:val="009A7893"/>
    <w:rsid w:val="009B0CFD"/>
    <w:rsid w:val="009B2556"/>
    <w:rsid w:val="009B28E2"/>
    <w:rsid w:val="009B43F8"/>
    <w:rsid w:val="009B6F2B"/>
    <w:rsid w:val="009C047B"/>
    <w:rsid w:val="009C11DA"/>
    <w:rsid w:val="009C2F05"/>
    <w:rsid w:val="009C46BB"/>
    <w:rsid w:val="009C4DCC"/>
    <w:rsid w:val="009C5442"/>
    <w:rsid w:val="009C5934"/>
    <w:rsid w:val="009D359B"/>
    <w:rsid w:val="009D3D0D"/>
    <w:rsid w:val="009E3457"/>
    <w:rsid w:val="009E3964"/>
    <w:rsid w:val="009F2B76"/>
    <w:rsid w:val="009F3D9E"/>
    <w:rsid w:val="009F67E6"/>
    <w:rsid w:val="00A01A49"/>
    <w:rsid w:val="00A05568"/>
    <w:rsid w:val="00A05B06"/>
    <w:rsid w:val="00A05F23"/>
    <w:rsid w:val="00A070DF"/>
    <w:rsid w:val="00A116AA"/>
    <w:rsid w:val="00A126E1"/>
    <w:rsid w:val="00A1501E"/>
    <w:rsid w:val="00A174CF"/>
    <w:rsid w:val="00A22E57"/>
    <w:rsid w:val="00A2494E"/>
    <w:rsid w:val="00A24DA2"/>
    <w:rsid w:val="00A2740E"/>
    <w:rsid w:val="00A31752"/>
    <w:rsid w:val="00A3180B"/>
    <w:rsid w:val="00A319B0"/>
    <w:rsid w:val="00A3274B"/>
    <w:rsid w:val="00A34F90"/>
    <w:rsid w:val="00A36D34"/>
    <w:rsid w:val="00A4225D"/>
    <w:rsid w:val="00A51052"/>
    <w:rsid w:val="00A53229"/>
    <w:rsid w:val="00A6261E"/>
    <w:rsid w:val="00A63977"/>
    <w:rsid w:val="00A647A2"/>
    <w:rsid w:val="00A64A5E"/>
    <w:rsid w:val="00A7158E"/>
    <w:rsid w:val="00A72CDE"/>
    <w:rsid w:val="00A73EFA"/>
    <w:rsid w:val="00A75BA6"/>
    <w:rsid w:val="00A76F26"/>
    <w:rsid w:val="00A77D19"/>
    <w:rsid w:val="00A8012A"/>
    <w:rsid w:val="00A80457"/>
    <w:rsid w:val="00A8640D"/>
    <w:rsid w:val="00A86C03"/>
    <w:rsid w:val="00A916AB"/>
    <w:rsid w:val="00A92DFA"/>
    <w:rsid w:val="00A97128"/>
    <w:rsid w:val="00AA1B44"/>
    <w:rsid w:val="00AA4CA7"/>
    <w:rsid w:val="00AA4CBC"/>
    <w:rsid w:val="00AA4DD3"/>
    <w:rsid w:val="00AA6CA2"/>
    <w:rsid w:val="00AB062D"/>
    <w:rsid w:val="00AB35FB"/>
    <w:rsid w:val="00AB53C6"/>
    <w:rsid w:val="00AC4870"/>
    <w:rsid w:val="00AC6699"/>
    <w:rsid w:val="00AC7914"/>
    <w:rsid w:val="00AD0B94"/>
    <w:rsid w:val="00AD1053"/>
    <w:rsid w:val="00AD2C47"/>
    <w:rsid w:val="00AD315A"/>
    <w:rsid w:val="00AD417C"/>
    <w:rsid w:val="00AD6626"/>
    <w:rsid w:val="00AE0A2A"/>
    <w:rsid w:val="00AE0FCB"/>
    <w:rsid w:val="00AE3EA7"/>
    <w:rsid w:val="00AE4C34"/>
    <w:rsid w:val="00AE7546"/>
    <w:rsid w:val="00AE7642"/>
    <w:rsid w:val="00AF083C"/>
    <w:rsid w:val="00AF291F"/>
    <w:rsid w:val="00AF3C62"/>
    <w:rsid w:val="00AF3CA1"/>
    <w:rsid w:val="00AF42BA"/>
    <w:rsid w:val="00AF4464"/>
    <w:rsid w:val="00AF4EC1"/>
    <w:rsid w:val="00AF5A92"/>
    <w:rsid w:val="00AF7ADB"/>
    <w:rsid w:val="00B01AF5"/>
    <w:rsid w:val="00B06104"/>
    <w:rsid w:val="00B06F79"/>
    <w:rsid w:val="00B11EE9"/>
    <w:rsid w:val="00B24781"/>
    <w:rsid w:val="00B30E62"/>
    <w:rsid w:val="00B35315"/>
    <w:rsid w:val="00B361F5"/>
    <w:rsid w:val="00B4142E"/>
    <w:rsid w:val="00B41535"/>
    <w:rsid w:val="00B415ED"/>
    <w:rsid w:val="00B41ABC"/>
    <w:rsid w:val="00B448D3"/>
    <w:rsid w:val="00B46CB6"/>
    <w:rsid w:val="00B50C94"/>
    <w:rsid w:val="00B518A5"/>
    <w:rsid w:val="00B53410"/>
    <w:rsid w:val="00B570A8"/>
    <w:rsid w:val="00B5750D"/>
    <w:rsid w:val="00B5790C"/>
    <w:rsid w:val="00B6096F"/>
    <w:rsid w:val="00B62F78"/>
    <w:rsid w:val="00B63CC0"/>
    <w:rsid w:val="00B63F60"/>
    <w:rsid w:val="00B6680D"/>
    <w:rsid w:val="00B70125"/>
    <w:rsid w:val="00B70261"/>
    <w:rsid w:val="00B70273"/>
    <w:rsid w:val="00B70A6B"/>
    <w:rsid w:val="00B72511"/>
    <w:rsid w:val="00B76C42"/>
    <w:rsid w:val="00B77660"/>
    <w:rsid w:val="00B81B44"/>
    <w:rsid w:val="00B84FC4"/>
    <w:rsid w:val="00B86998"/>
    <w:rsid w:val="00B872AB"/>
    <w:rsid w:val="00B901E7"/>
    <w:rsid w:val="00B919B3"/>
    <w:rsid w:val="00B91C58"/>
    <w:rsid w:val="00B92113"/>
    <w:rsid w:val="00B948B7"/>
    <w:rsid w:val="00B95ADE"/>
    <w:rsid w:val="00B95CB5"/>
    <w:rsid w:val="00BA041C"/>
    <w:rsid w:val="00BA1871"/>
    <w:rsid w:val="00BA3218"/>
    <w:rsid w:val="00BA5773"/>
    <w:rsid w:val="00BB0403"/>
    <w:rsid w:val="00BB28C8"/>
    <w:rsid w:val="00BB374A"/>
    <w:rsid w:val="00BB3D8A"/>
    <w:rsid w:val="00BB4EAB"/>
    <w:rsid w:val="00BB5593"/>
    <w:rsid w:val="00BB6A2B"/>
    <w:rsid w:val="00BC365E"/>
    <w:rsid w:val="00BD06CC"/>
    <w:rsid w:val="00BD08FB"/>
    <w:rsid w:val="00BD44A2"/>
    <w:rsid w:val="00BD72E1"/>
    <w:rsid w:val="00BE43B6"/>
    <w:rsid w:val="00BE4489"/>
    <w:rsid w:val="00BE7E2C"/>
    <w:rsid w:val="00BF0C8F"/>
    <w:rsid w:val="00BF271C"/>
    <w:rsid w:val="00BF430D"/>
    <w:rsid w:val="00BF4B16"/>
    <w:rsid w:val="00BF514A"/>
    <w:rsid w:val="00BF5929"/>
    <w:rsid w:val="00BF5FEF"/>
    <w:rsid w:val="00BF75C0"/>
    <w:rsid w:val="00C00AB3"/>
    <w:rsid w:val="00C018F6"/>
    <w:rsid w:val="00C04D6E"/>
    <w:rsid w:val="00C11124"/>
    <w:rsid w:val="00C118CA"/>
    <w:rsid w:val="00C118F1"/>
    <w:rsid w:val="00C14457"/>
    <w:rsid w:val="00C147CA"/>
    <w:rsid w:val="00C17D6D"/>
    <w:rsid w:val="00C21C4F"/>
    <w:rsid w:val="00C239FA"/>
    <w:rsid w:val="00C24F07"/>
    <w:rsid w:val="00C2597F"/>
    <w:rsid w:val="00C26D20"/>
    <w:rsid w:val="00C26E8C"/>
    <w:rsid w:val="00C304CA"/>
    <w:rsid w:val="00C3398C"/>
    <w:rsid w:val="00C33F8E"/>
    <w:rsid w:val="00C3428F"/>
    <w:rsid w:val="00C34857"/>
    <w:rsid w:val="00C35D34"/>
    <w:rsid w:val="00C413BB"/>
    <w:rsid w:val="00C417B4"/>
    <w:rsid w:val="00C43986"/>
    <w:rsid w:val="00C456AE"/>
    <w:rsid w:val="00C46AF2"/>
    <w:rsid w:val="00C46C3B"/>
    <w:rsid w:val="00C519AD"/>
    <w:rsid w:val="00C51B4C"/>
    <w:rsid w:val="00C553BD"/>
    <w:rsid w:val="00C56484"/>
    <w:rsid w:val="00C630B1"/>
    <w:rsid w:val="00C67347"/>
    <w:rsid w:val="00C70F88"/>
    <w:rsid w:val="00C715BA"/>
    <w:rsid w:val="00C753DC"/>
    <w:rsid w:val="00C77FDC"/>
    <w:rsid w:val="00C81351"/>
    <w:rsid w:val="00C81FBF"/>
    <w:rsid w:val="00C844CB"/>
    <w:rsid w:val="00C91691"/>
    <w:rsid w:val="00C93EB3"/>
    <w:rsid w:val="00CA155A"/>
    <w:rsid w:val="00CA42AF"/>
    <w:rsid w:val="00CA5BAF"/>
    <w:rsid w:val="00CB034A"/>
    <w:rsid w:val="00CB0D04"/>
    <w:rsid w:val="00CB5534"/>
    <w:rsid w:val="00CB77EE"/>
    <w:rsid w:val="00CB7966"/>
    <w:rsid w:val="00CC012D"/>
    <w:rsid w:val="00CC01FB"/>
    <w:rsid w:val="00CC3CB6"/>
    <w:rsid w:val="00CC4C09"/>
    <w:rsid w:val="00CC5948"/>
    <w:rsid w:val="00CC7423"/>
    <w:rsid w:val="00CD0FE8"/>
    <w:rsid w:val="00CD12E4"/>
    <w:rsid w:val="00CD536A"/>
    <w:rsid w:val="00CE01C7"/>
    <w:rsid w:val="00CE3530"/>
    <w:rsid w:val="00CE46BA"/>
    <w:rsid w:val="00CE7101"/>
    <w:rsid w:val="00CF11A3"/>
    <w:rsid w:val="00CF1A0E"/>
    <w:rsid w:val="00CF5729"/>
    <w:rsid w:val="00D029B4"/>
    <w:rsid w:val="00D02E4B"/>
    <w:rsid w:val="00D054B3"/>
    <w:rsid w:val="00D0562A"/>
    <w:rsid w:val="00D070C0"/>
    <w:rsid w:val="00D076E2"/>
    <w:rsid w:val="00D07CEE"/>
    <w:rsid w:val="00D10192"/>
    <w:rsid w:val="00D1154B"/>
    <w:rsid w:val="00D12A15"/>
    <w:rsid w:val="00D14E3D"/>
    <w:rsid w:val="00D15F1C"/>
    <w:rsid w:val="00D16D89"/>
    <w:rsid w:val="00D17A13"/>
    <w:rsid w:val="00D224BA"/>
    <w:rsid w:val="00D22841"/>
    <w:rsid w:val="00D238EE"/>
    <w:rsid w:val="00D24818"/>
    <w:rsid w:val="00D3305F"/>
    <w:rsid w:val="00D3662B"/>
    <w:rsid w:val="00D51651"/>
    <w:rsid w:val="00D51B8C"/>
    <w:rsid w:val="00D52646"/>
    <w:rsid w:val="00D52E73"/>
    <w:rsid w:val="00D600C6"/>
    <w:rsid w:val="00D61290"/>
    <w:rsid w:val="00D61AAE"/>
    <w:rsid w:val="00D6361F"/>
    <w:rsid w:val="00D63E3D"/>
    <w:rsid w:val="00D64CDB"/>
    <w:rsid w:val="00D64D42"/>
    <w:rsid w:val="00D67643"/>
    <w:rsid w:val="00D715FD"/>
    <w:rsid w:val="00D7745A"/>
    <w:rsid w:val="00D806E5"/>
    <w:rsid w:val="00D832D8"/>
    <w:rsid w:val="00DA26B5"/>
    <w:rsid w:val="00DA34E4"/>
    <w:rsid w:val="00DA39A4"/>
    <w:rsid w:val="00DA67E9"/>
    <w:rsid w:val="00DA6D03"/>
    <w:rsid w:val="00DB1289"/>
    <w:rsid w:val="00DB2FAD"/>
    <w:rsid w:val="00DB3739"/>
    <w:rsid w:val="00DB5B50"/>
    <w:rsid w:val="00DB74E6"/>
    <w:rsid w:val="00DC6E53"/>
    <w:rsid w:val="00DC7915"/>
    <w:rsid w:val="00DD1EBB"/>
    <w:rsid w:val="00DD5901"/>
    <w:rsid w:val="00DD7164"/>
    <w:rsid w:val="00DE135A"/>
    <w:rsid w:val="00DF136D"/>
    <w:rsid w:val="00E026FC"/>
    <w:rsid w:val="00E05313"/>
    <w:rsid w:val="00E10973"/>
    <w:rsid w:val="00E160B0"/>
    <w:rsid w:val="00E16EC1"/>
    <w:rsid w:val="00E22016"/>
    <w:rsid w:val="00E2430B"/>
    <w:rsid w:val="00E26E65"/>
    <w:rsid w:val="00E3158C"/>
    <w:rsid w:val="00E32B93"/>
    <w:rsid w:val="00E3376B"/>
    <w:rsid w:val="00E3384E"/>
    <w:rsid w:val="00E34A24"/>
    <w:rsid w:val="00E372A3"/>
    <w:rsid w:val="00E37FB4"/>
    <w:rsid w:val="00E4533F"/>
    <w:rsid w:val="00E47F6A"/>
    <w:rsid w:val="00E55BD9"/>
    <w:rsid w:val="00E56563"/>
    <w:rsid w:val="00E56636"/>
    <w:rsid w:val="00E57B4C"/>
    <w:rsid w:val="00E57C26"/>
    <w:rsid w:val="00E606CB"/>
    <w:rsid w:val="00E64476"/>
    <w:rsid w:val="00E65D0A"/>
    <w:rsid w:val="00E668DC"/>
    <w:rsid w:val="00E66C90"/>
    <w:rsid w:val="00E67A10"/>
    <w:rsid w:val="00E67F85"/>
    <w:rsid w:val="00E7142A"/>
    <w:rsid w:val="00E71470"/>
    <w:rsid w:val="00E7546A"/>
    <w:rsid w:val="00E80E04"/>
    <w:rsid w:val="00E84832"/>
    <w:rsid w:val="00E92454"/>
    <w:rsid w:val="00E9252B"/>
    <w:rsid w:val="00E92CCD"/>
    <w:rsid w:val="00E9377C"/>
    <w:rsid w:val="00E97F5A"/>
    <w:rsid w:val="00EA187A"/>
    <w:rsid w:val="00EA1FC4"/>
    <w:rsid w:val="00EB022F"/>
    <w:rsid w:val="00EB04B2"/>
    <w:rsid w:val="00EB0D0E"/>
    <w:rsid w:val="00EB2396"/>
    <w:rsid w:val="00EB2FA5"/>
    <w:rsid w:val="00EB35C1"/>
    <w:rsid w:val="00EB4A7D"/>
    <w:rsid w:val="00EB63FC"/>
    <w:rsid w:val="00EB7C34"/>
    <w:rsid w:val="00EC0397"/>
    <w:rsid w:val="00EC64C3"/>
    <w:rsid w:val="00ED4DE7"/>
    <w:rsid w:val="00ED67E1"/>
    <w:rsid w:val="00ED7B54"/>
    <w:rsid w:val="00EE0C7A"/>
    <w:rsid w:val="00EE3615"/>
    <w:rsid w:val="00EE44BB"/>
    <w:rsid w:val="00EE564F"/>
    <w:rsid w:val="00EF686D"/>
    <w:rsid w:val="00F00370"/>
    <w:rsid w:val="00F0158F"/>
    <w:rsid w:val="00F04269"/>
    <w:rsid w:val="00F0500B"/>
    <w:rsid w:val="00F05BB0"/>
    <w:rsid w:val="00F1095E"/>
    <w:rsid w:val="00F10982"/>
    <w:rsid w:val="00F148A5"/>
    <w:rsid w:val="00F1548E"/>
    <w:rsid w:val="00F16538"/>
    <w:rsid w:val="00F17479"/>
    <w:rsid w:val="00F2347E"/>
    <w:rsid w:val="00F30CAD"/>
    <w:rsid w:val="00F318BC"/>
    <w:rsid w:val="00F32EA9"/>
    <w:rsid w:val="00F34B8C"/>
    <w:rsid w:val="00F36005"/>
    <w:rsid w:val="00F36456"/>
    <w:rsid w:val="00F36B43"/>
    <w:rsid w:val="00F401AB"/>
    <w:rsid w:val="00F50BEB"/>
    <w:rsid w:val="00F52376"/>
    <w:rsid w:val="00F56941"/>
    <w:rsid w:val="00F5728B"/>
    <w:rsid w:val="00F57507"/>
    <w:rsid w:val="00F57730"/>
    <w:rsid w:val="00F62897"/>
    <w:rsid w:val="00F636AD"/>
    <w:rsid w:val="00F658B2"/>
    <w:rsid w:val="00F73BEF"/>
    <w:rsid w:val="00F770CB"/>
    <w:rsid w:val="00F77A08"/>
    <w:rsid w:val="00F80798"/>
    <w:rsid w:val="00F81A80"/>
    <w:rsid w:val="00F81FB4"/>
    <w:rsid w:val="00F83440"/>
    <w:rsid w:val="00F84BBA"/>
    <w:rsid w:val="00F85D30"/>
    <w:rsid w:val="00F8642A"/>
    <w:rsid w:val="00F907C0"/>
    <w:rsid w:val="00F913FA"/>
    <w:rsid w:val="00F923DB"/>
    <w:rsid w:val="00F943C6"/>
    <w:rsid w:val="00F97EC2"/>
    <w:rsid w:val="00FA0FFA"/>
    <w:rsid w:val="00FA6806"/>
    <w:rsid w:val="00FB0391"/>
    <w:rsid w:val="00FB2CF9"/>
    <w:rsid w:val="00FB78B7"/>
    <w:rsid w:val="00FC022F"/>
    <w:rsid w:val="00FC42DD"/>
    <w:rsid w:val="00FD03FD"/>
    <w:rsid w:val="00FD0669"/>
    <w:rsid w:val="00FD270B"/>
    <w:rsid w:val="00FD63F8"/>
    <w:rsid w:val="00FD65E3"/>
    <w:rsid w:val="00FD6B33"/>
    <w:rsid w:val="00FE3B2B"/>
    <w:rsid w:val="00FE6CAA"/>
    <w:rsid w:val="00FF3F26"/>
    <w:rsid w:val="00FF438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E1F"/>
  <w15:docId w15:val="{80FDC38F-E780-47D4-9A88-264DC09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4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1C5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FA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FA5"/>
    <w:rPr>
      <w:kern w:val="2"/>
      <w:sz w:val="21"/>
      <w:szCs w:val="22"/>
    </w:rPr>
  </w:style>
  <w:style w:type="character" w:styleId="a8">
    <w:name w:val="Hyperlink"/>
    <w:uiPriority w:val="99"/>
    <w:unhideWhenUsed/>
    <w:rsid w:val="00945C44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D64CD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link w:val="a9"/>
    <w:uiPriority w:val="99"/>
    <w:rsid w:val="00D64CDB"/>
    <w:rPr>
      <w:rFonts w:ascii="ＭＳ ゴシック" w:eastAsia="ＭＳ ゴシック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848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485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B91C58"/>
    <w:rPr>
      <w:rFonts w:ascii="Arial" w:eastAsia="ＭＳ ゴシック" w:hAnsi="Arial"/>
      <w:b/>
      <w:bCs/>
      <w:color w:val="365F91"/>
      <w:sz w:val="28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E9252B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rsid w:val="00E9252B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sid w:val="00E9252B"/>
    <w:pPr>
      <w:jc w:val="left"/>
    </w:pPr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E9252B"/>
    <w:rPr>
      <w:noProof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6F4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385F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85F2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85F2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5F2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85F2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B0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F4F2-DB55-4B95-B39E-09EE68C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12905</CharactersWithSpaces>
  <SharedDoc>false</SharedDoc>
  <HLinks>
    <vt:vector size="204" baseType="variant"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EBATAN</dc:creator>
  <cp:lastModifiedBy>Ebata, Nozomi</cp:lastModifiedBy>
  <cp:revision>5</cp:revision>
  <cp:lastPrinted>2016-08-23T05:30:00Z</cp:lastPrinted>
  <dcterms:created xsi:type="dcterms:W3CDTF">2019-05-18T03:32:00Z</dcterms:created>
  <dcterms:modified xsi:type="dcterms:W3CDTF">2019-05-18T14:43:00Z</dcterms:modified>
</cp:coreProperties>
</file>