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4A" w:rsidRPr="000E48EA" w:rsidRDefault="000E48EA">
      <w:pPr>
        <w:rPr>
          <w:b/>
        </w:rPr>
      </w:pPr>
      <w:r w:rsidRPr="000E48EA">
        <w:rPr>
          <w:b/>
        </w:rPr>
        <w:t>Instructions provided to participants during final seated meditation</w:t>
      </w:r>
    </w:p>
    <w:p w:rsidR="000E48EA" w:rsidRDefault="000E48EA" w:rsidP="000E48EA">
      <w:r>
        <w:t xml:space="preserve">Yoga teachers were provided with three </w:t>
      </w:r>
      <w:r w:rsidR="00F326D1">
        <w:t>techniques</w:t>
      </w:r>
      <w:r>
        <w:t xml:space="preserve"> for focussing</w:t>
      </w:r>
      <w:r w:rsidR="00F326D1">
        <w:t xml:space="preserve"> attention during meditation, with instructions as</w:t>
      </w:r>
      <w:r>
        <w:t xml:space="preserve"> below. Yoga teachers were asked to </w:t>
      </w:r>
      <w:r w:rsidR="00F326D1">
        <w:t>select</w:t>
      </w:r>
      <w:r w:rsidRPr="000E48EA">
        <w:t xml:space="preserve"> </w:t>
      </w:r>
      <w:r>
        <w:t xml:space="preserve">a technique for each given class or individual, as they felt was appropriate. </w:t>
      </w:r>
      <w:r w:rsidRPr="000E48EA">
        <w:t xml:space="preserve"> </w:t>
      </w:r>
    </w:p>
    <w:p w:rsidR="000E48EA" w:rsidRDefault="000E48EA" w:rsidP="000E48EA">
      <w:r>
        <w:t>1. As you breathe in, count silently in your mind “1.” As you breathe out, count “2.” Breathe in and count “3.” Breathe out and count “4.” Keep going to “10” and then begin start again at “1.” If you lose count, simply come back to “1.”</w:t>
      </w:r>
    </w:p>
    <w:p w:rsidR="000E48EA" w:rsidRDefault="000E48EA" w:rsidP="000E48EA">
      <w:r>
        <w:t>2. As you breathe in, simply pay attention to the breath. As you breathe out, count “1.” Breathe in, pay attention to the breath. Breathe out, count “2.” Keep going to “10” and start again at “1.”</w:t>
      </w:r>
    </w:p>
    <w:p w:rsidR="000E48EA" w:rsidRDefault="000E48EA" w:rsidP="000E48EA">
      <w:r>
        <w:t>3. As you breathe in and out, simply pay attention fully to the breath, with each inhalation and each exhalation.</w:t>
      </w:r>
    </w:p>
    <w:p w:rsidR="00BC4A5E" w:rsidRDefault="00BC4A5E" w:rsidP="000E48EA"/>
    <w:p w:rsidR="00BC4A5E" w:rsidRDefault="00BC4A5E" w:rsidP="00BC4A5E">
      <w:pPr>
        <w:pStyle w:val="NoSpacing"/>
      </w:pPr>
      <w:r>
        <w:rPr>
          <w:b/>
        </w:rPr>
        <w:t xml:space="preserve">Supplementary </w:t>
      </w:r>
      <w:r w:rsidRPr="00BC4A5E">
        <w:rPr>
          <w:b/>
        </w:rPr>
        <w:t>Table 1</w:t>
      </w:r>
      <w:r w:rsidRPr="00BC4A5E">
        <w:rPr>
          <w:b/>
        </w:rPr>
        <w:t xml:space="preserve"> (below).</w:t>
      </w:r>
      <w:r>
        <w:rPr>
          <w:b/>
        </w:rPr>
        <w:t xml:space="preserve"> </w:t>
      </w:r>
      <w:r>
        <w:t>Full results of regression analyses exploring effects of attendance, self-practice, demographic variables, and baseline psychometrics against outcome for 55 participants who completed the 10 week yoga course.</w:t>
      </w:r>
    </w:p>
    <w:p w:rsidR="00BC4A5E" w:rsidRDefault="00BC4A5E" w:rsidP="000E48EA">
      <w:bookmarkStart w:id="0" w:name="_GoBack"/>
      <w:bookmarkEnd w:id="0"/>
    </w:p>
    <w:p w:rsidR="00BC4A5E" w:rsidRDefault="00BC4A5E">
      <w:pPr>
        <w:rPr>
          <w:b/>
        </w:rPr>
      </w:pPr>
      <w:r>
        <w:rPr>
          <w:b/>
        </w:rPr>
        <w:br w:type="page"/>
      </w:r>
    </w:p>
    <w:tbl>
      <w:tblPr>
        <w:tblStyle w:val="TableGrid"/>
        <w:tblpPr w:leftFromText="180" w:rightFromText="180" w:vertAnchor="text" w:horzAnchor="margin" w:tblpXSpec="center" w:tblpY="440"/>
        <w:tblW w:w="9808" w:type="dxa"/>
        <w:tblBorders>
          <w:top w:val="single" w:sz="12" w:space="0" w:color="525252" w:themeColor="accent3" w:themeShade="80"/>
          <w:left w:val="none" w:sz="0" w:space="0" w:color="auto"/>
          <w:bottom w:val="single" w:sz="12" w:space="0" w:color="525252" w:themeColor="accent3" w:themeShade="80"/>
          <w:right w:val="none" w:sz="0" w:space="0" w:color="auto"/>
          <w:insideH w:val="none" w:sz="0" w:space="0" w:color="auto"/>
          <w:insideV w:val="single" w:sz="8" w:space="0" w:color="525252" w:themeColor="accent3" w:themeShade="80"/>
        </w:tblBorders>
        <w:tblLayout w:type="fixed"/>
        <w:tblLook w:val="04A0" w:firstRow="1" w:lastRow="0" w:firstColumn="1" w:lastColumn="0" w:noHBand="0" w:noVBand="1"/>
      </w:tblPr>
      <w:tblGrid>
        <w:gridCol w:w="4503"/>
        <w:gridCol w:w="1734"/>
        <w:gridCol w:w="1843"/>
        <w:gridCol w:w="1728"/>
      </w:tblGrid>
      <w:tr w:rsidR="00BC4A5E" w:rsidRPr="00BC4A5E" w:rsidTr="00BC4A5E">
        <w:tc>
          <w:tcPr>
            <w:tcW w:w="4503" w:type="dxa"/>
            <w:tcBorders>
              <w:top w:val="single" w:sz="12" w:space="0" w:color="525252" w:themeColor="accent3" w:themeShade="80"/>
              <w:bottom w:val="single" w:sz="4" w:space="0" w:color="auto"/>
            </w:tcBorders>
            <w:shd w:val="clear" w:color="auto" w:fill="auto"/>
          </w:tcPr>
          <w:p w:rsidR="00BC4A5E" w:rsidRPr="00BC4A5E" w:rsidRDefault="00BC4A5E" w:rsidP="00BC4A5E">
            <w:pPr>
              <w:keepNext/>
              <w:autoSpaceDE w:val="0"/>
              <w:autoSpaceDN w:val="0"/>
              <w:adjustRightInd w:val="0"/>
              <w:rPr>
                <w:rFonts w:cstheme="minorHAnsi"/>
                <w:b/>
                <w:sz w:val="20"/>
                <w:szCs w:val="20"/>
              </w:rPr>
            </w:pPr>
          </w:p>
        </w:tc>
        <w:tc>
          <w:tcPr>
            <w:tcW w:w="1734" w:type="dxa"/>
            <w:tcBorders>
              <w:top w:val="single" w:sz="12" w:space="0" w:color="525252" w:themeColor="accent3" w:themeShade="80"/>
              <w:bottom w:val="single" w:sz="4" w:space="0" w:color="auto"/>
            </w:tcBorders>
            <w:shd w:val="clear" w:color="auto" w:fill="auto"/>
          </w:tcPr>
          <w:p w:rsidR="00BC4A5E" w:rsidRPr="00BC4A5E" w:rsidRDefault="00BC4A5E" w:rsidP="00BC4A5E">
            <w:pPr>
              <w:keepNext/>
              <w:autoSpaceDE w:val="0"/>
              <w:autoSpaceDN w:val="0"/>
              <w:adjustRightInd w:val="0"/>
              <w:rPr>
                <w:rFonts w:cstheme="minorHAnsi"/>
                <w:b/>
                <w:sz w:val="20"/>
                <w:szCs w:val="20"/>
              </w:rPr>
            </w:pPr>
            <w:r w:rsidRPr="00BC4A5E">
              <w:rPr>
                <w:rFonts w:cstheme="minorHAnsi"/>
                <w:b/>
                <w:sz w:val="20"/>
                <w:szCs w:val="20"/>
              </w:rPr>
              <w:t>β in final model</w:t>
            </w:r>
          </w:p>
        </w:tc>
        <w:tc>
          <w:tcPr>
            <w:tcW w:w="1843" w:type="dxa"/>
            <w:tcBorders>
              <w:top w:val="single" w:sz="12" w:space="0" w:color="525252" w:themeColor="accent3" w:themeShade="80"/>
              <w:bottom w:val="single" w:sz="4" w:space="0" w:color="auto"/>
            </w:tcBorders>
            <w:shd w:val="clear" w:color="auto" w:fill="auto"/>
          </w:tcPr>
          <w:p w:rsidR="00BC4A5E" w:rsidRPr="00BC4A5E" w:rsidRDefault="00BC4A5E" w:rsidP="00BC4A5E">
            <w:pPr>
              <w:keepNext/>
              <w:autoSpaceDE w:val="0"/>
              <w:autoSpaceDN w:val="0"/>
              <w:adjustRightInd w:val="0"/>
              <w:rPr>
                <w:rFonts w:cstheme="minorHAnsi"/>
                <w:b/>
                <w:sz w:val="20"/>
                <w:szCs w:val="20"/>
              </w:rPr>
            </w:pPr>
            <w:r w:rsidRPr="00BC4A5E">
              <w:rPr>
                <w:rFonts w:cstheme="minorHAnsi"/>
                <w:b/>
                <w:sz w:val="20"/>
                <w:szCs w:val="20"/>
              </w:rPr>
              <w:t>95% CI</w:t>
            </w:r>
          </w:p>
        </w:tc>
        <w:tc>
          <w:tcPr>
            <w:tcW w:w="1728" w:type="dxa"/>
            <w:tcBorders>
              <w:top w:val="single" w:sz="12" w:space="0" w:color="525252" w:themeColor="accent3" w:themeShade="80"/>
              <w:bottom w:val="single" w:sz="4" w:space="0" w:color="auto"/>
            </w:tcBorders>
            <w:shd w:val="clear" w:color="auto" w:fill="auto"/>
          </w:tcPr>
          <w:p w:rsidR="00BC4A5E" w:rsidRPr="00BC4A5E" w:rsidRDefault="00BC4A5E" w:rsidP="00BC4A5E">
            <w:pPr>
              <w:keepNext/>
              <w:autoSpaceDE w:val="0"/>
              <w:autoSpaceDN w:val="0"/>
              <w:adjustRightInd w:val="0"/>
              <w:rPr>
                <w:rFonts w:cstheme="minorHAnsi"/>
                <w:b/>
                <w:i/>
                <w:sz w:val="20"/>
                <w:szCs w:val="20"/>
              </w:rPr>
            </w:pPr>
            <w:r w:rsidRPr="00BC4A5E">
              <w:rPr>
                <w:rFonts w:cstheme="minorHAnsi"/>
                <w:b/>
                <w:i/>
                <w:sz w:val="20"/>
                <w:szCs w:val="20"/>
              </w:rPr>
              <w:t>p-value</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rPr>
                <w:rFonts w:cstheme="minorHAnsi"/>
                <w:b/>
                <w:i/>
                <w:color w:val="FF0000"/>
                <w:sz w:val="20"/>
                <w:szCs w:val="20"/>
              </w:rPr>
            </w:pPr>
            <w:r w:rsidRPr="00BC4A5E">
              <w:rPr>
                <w:rFonts w:cstheme="minorHAnsi"/>
                <w:b/>
                <w:i/>
                <w:sz w:val="20"/>
                <w:szCs w:val="20"/>
              </w:rPr>
              <w:t>Δ Perceived Stress</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rPr>
            </w:pP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rPr>
            </w:pP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Yoga classes attended</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-1.053</w:t>
            </w:r>
            <w:r w:rsidRPr="00BC4A5E">
              <w:rPr>
                <w:rFonts w:cstheme="minorHAnsi"/>
                <w:sz w:val="20"/>
                <w:szCs w:val="20"/>
              </w:rPr>
              <w:t>±0.383</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[-1.850, -0.341]</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w:t>
            </w:r>
            <w:r>
              <w:rPr>
                <w:sz w:val="20"/>
                <w:szCs w:val="20"/>
              </w:rPr>
              <w:t>.010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Self-practice 1-2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-3.661</w:t>
            </w:r>
            <w:r w:rsidRPr="00BC4A5E">
              <w:rPr>
                <w:rFonts w:cstheme="minorHAnsi"/>
                <w:sz w:val="20"/>
                <w:szCs w:val="20"/>
              </w:rPr>
              <w:t>±2.911</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[-9.849, 1.672]</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p = 0.208</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Self-practise 3-4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-4.650</w:t>
            </w:r>
            <w:r w:rsidRPr="00BC4A5E">
              <w:rPr>
                <w:rFonts w:cstheme="minorHAnsi"/>
                <w:sz w:val="20"/>
                <w:szCs w:val="20"/>
              </w:rPr>
              <w:t>±2.293</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[-9.114, 0.064]</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p = 0.052</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Self-practice 5 or more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-5.329</w:t>
            </w:r>
            <w:r w:rsidRPr="00BC4A5E">
              <w:rPr>
                <w:rFonts w:cstheme="minorHAnsi"/>
                <w:sz w:val="20"/>
                <w:szCs w:val="20"/>
              </w:rPr>
              <w:t>±2.408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[-10.147, -0.636]</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p = 0.032</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Gender</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2.229</w:t>
            </w:r>
            <w:r w:rsidRPr="00BC4A5E">
              <w:rPr>
                <w:rFonts w:cstheme="minorHAnsi"/>
                <w:sz w:val="20"/>
                <w:szCs w:val="20"/>
              </w:rPr>
              <w:t>±3.625</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[-4.672, 9.662]</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p = 0.521</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Age</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-0.030</w:t>
            </w:r>
            <w:r w:rsidRPr="00BC4A5E">
              <w:rPr>
                <w:rFonts w:cstheme="minorHAnsi"/>
                <w:sz w:val="20"/>
                <w:szCs w:val="20"/>
              </w:rPr>
              <w:t>±0.094</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[-0.204, 0.172]</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0.737</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Ethnicity</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1.748</w:t>
            </w:r>
            <w:r w:rsidRPr="00BC4A5E">
              <w:rPr>
                <w:rFonts w:cstheme="minorHAnsi"/>
                <w:sz w:val="20"/>
                <w:szCs w:val="20"/>
              </w:rPr>
              <w:t>±2.197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[-2.783, 5.979]</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0.420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Relationship Status</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-1.326</w:t>
            </w:r>
            <w:r w:rsidRPr="00BC4A5E">
              <w:rPr>
                <w:rFonts w:cstheme="minorHAnsi"/>
                <w:sz w:val="20"/>
                <w:szCs w:val="20"/>
              </w:rPr>
              <w:t>±2.718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[-6.518, 4.294]</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0.619</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Educational qualifications achieved</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0.709</w:t>
            </w:r>
            <w:r w:rsidRPr="00BC4A5E">
              <w:rPr>
                <w:rFonts w:cstheme="minorHAnsi"/>
                <w:sz w:val="20"/>
                <w:szCs w:val="20"/>
              </w:rPr>
              <w:t>±1.192</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[-1.621, 3.078]</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0.533</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Psychological Distress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-0.450</w:t>
            </w:r>
            <w:r w:rsidRPr="00BC4A5E">
              <w:rPr>
                <w:rFonts w:cstheme="minorHAnsi"/>
                <w:sz w:val="20"/>
                <w:szCs w:val="20"/>
              </w:rPr>
              <w:t>±0.169</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[-0.777, -0.109]</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p = 0.013</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Perceived Stress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-0.021</w:t>
            </w:r>
            <w:r w:rsidRPr="00BC4A5E">
              <w:rPr>
                <w:rFonts w:cstheme="minorHAnsi"/>
                <w:sz w:val="20"/>
                <w:szCs w:val="20"/>
              </w:rPr>
              <w:t>±0.043</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[-0.126, 0.052]</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p = 0.546</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Positive Affect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0.019</w:t>
            </w:r>
            <w:r w:rsidRPr="00BC4A5E">
              <w:rPr>
                <w:rFonts w:cstheme="minorHAnsi"/>
                <w:sz w:val="20"/>
                <w:szCs w:val="20"/>
              </w:rPr>
              <w:t>±0.152</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[-0.288, 0.303]</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0.907</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Negative Affect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0.091</w:t>
            </w:r>
            <w:r w:rsidRPr="00BC4A5E">
              <w:rPr>
                <w:rFonts w:cstheme="minorHAnsi"/>
                <w:sz w:val="20"/>
                <w:szCs w:val="20"/>
              </w:rPr>
              <w:t>±0.256</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[-0.372, 0.631]</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0.704</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rPr>
                <w:rFonts w:cstheme="minorHAnsi"/>
                <w:i/>
                <w:sz w:val="20"/>
                <w:szCs w:val="20"/>
              </w:rPr>
            </w:pPr>
            <w:r w:rsidRPr="00BC4A5E">
              <w:rPr>
                <w:rFonts w:cstheme="minorHAnsi"/>
                <w:b/>
                <w:i/>
                <w:sz w:val="20"/>
                <w:szCs w:val="20"/>
              </w:rPr>
              <w:t xml:space="preserve">Δ Psychological Distress </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i/>
                <w:sz w:val="20"/>
                <w:szCs w:val="20"/>
                <w:highlight w:val="yellow"/>
              </w:rPr>
            </w:pP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i/>
                <w:sz w:val="20"/>
                <w:szCs w:val="20"/>
                <w:highlight w:val="yellow"/>
              </w:rPr>
            </w:pP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i/>
                <w:sz w:val="20"/>
                <w:szCs w:val="20"/>
                <w:highlight w:val="yellow"/>
              </w:rPr>
            </w:pP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Yoga classes attended</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-2.015±1.558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[-4.963, 1.304]</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0.205</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Self-practice 1-2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-17.872±11.137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[-41.696, 0.94]</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p = 0.129</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Self-practise 3-4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-11.102±8.689</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[-27.481, 7.158]</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p = 0.220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Self-practice 5 or more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-3.949±10.62</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[-24.39, 17.203]</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0.710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Gender</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13.454±16.29</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[-19.489, 45.369]</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0.400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Age</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-0.195±0.291</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[-0.827, 0.313]</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0.488</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Ethnicity</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14.498±9.298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[-3.247, 33.018]</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0.153</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Relationship Status</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1.474±10.099</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[-17.158, 22.231]</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0.888</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Educational qualifications achieved</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-1.944±4.247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[-10.294, 6.576]</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0.630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Psychological Distress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0.069±0.752</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[-1.464, 1.505]</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0.920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Perceived Stress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-0.584±0.253</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[-1.176, -0.233]</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0.017</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Positive Affect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0.061±0.634</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[-1.284, 1.207]</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0.923</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Negative Affect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0.311±0.988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[-1.57, 2.366]</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0.752</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rPr>
                <w:rFonts w:cstheme="minorHAnsi"/>
                <w:i/>
                <w:sz w:val="20"/>
                <w:szCs w:val="20"/>
              </w:rPr>
            </w:pPr>
            <w:r w:rsidRPr="00BC4A5E">
              <w:rPr>
                <w:rFonts w:cstheme="minorHAnsi"/>
                <w:b/>
                <w:i/>
                <w:sz w:val="20"/>
                <w:szCs w:val="20"/>
              </w:rPr>
              <w:t>Δ Positive affect</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i/>
                <w:sz w:val="20"/>
                <w:szCs w:val="20"/>
                <w:highlight w:val="yellow"/>
              </w:rPr>
            </w:pP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i/>
                <w:sz w:val="20"/>
                <w:szCs w:val="20"/>
                <w:highlight w:val="yellow"/>
              </w:rPr>
            </w:pP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i/>
                <w:sz w:val="20"/>
                <w:szCs w:val="20"/>
                <w:highlight w:val="yellow"/>
              </w:rPr>
            </w:pP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Yoga classes attended</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0.683±0.541</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[-0.204, 1.948]</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0.178</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Self-practice 1-2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-4.793±3.516</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[-12.126, 1.795]</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p = 0.181</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Self-practise 3-4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-1.790±3.257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[-8.307, 4.31]</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p = 0.586</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Self-practice 5 or more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-3.810±3.293</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[-10.517, 2.408]</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p = 0.252</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Gender</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1.220±5.47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[-8.454, 13.03]</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p = 0.816</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Age</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0.088±0.124</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[-0.144, 0.338]</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0.485</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Ethnicity</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-2.001±2.77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[-7.321, 3.623]</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0.477</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Relationship Status</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0.636±2.685</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[-4.957, 5.7]</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0.813</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Educational qualifications achieved</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0.204±1.462</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[-2.813, 2.972]</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0.889</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Psychological Distress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-0.386±0.233</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[-0.871, 0.037]</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0.101</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Perceived Stress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0.045±0.048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[-0.042, 0.154]</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p = 0.269</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Positive Affect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-0.609±0.139</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[-0.874, -0.33]</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p = 0.001</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Negative Affect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0.0541±0.246</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[-0.462, 0.51]</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0.820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rPr>
                <w:rFonts w:cstheme="minorHAnsi"/>
                <w:i/>
                <w:sz w:val="20"/>
                <w:szCs w:val="20"/>
              </w:rPr>
            </w:pPr>
            <w:r w:rsidRPr="00BC4A5E">
              <w:rPr>
                <w:rFonts w:cstheme="minorHAnsi"/>
                <w:b/>
                <w:i/>
                <w:sz w:val="20"/>
                <w:szCs w:val="20"/>
              </w:rPr>
              <w:t>Δ Negative affect</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i/>
                <w:sz w:val="20"/>
                <w:szCs w:val="20"/>
                <w:highlight w:val="yellow"/>
              </w:rPr>
            </w:pP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i/>
                <w:sz w:val="20"/>
                <w:szCs w:val="20"/>
                <w:highlight w:val="yellow"/>
              </w:rPr>
            </w:pP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i/>
                <w:sz w:val="20"/>
                <w:szCs w:val="20"/>
                <w:highlight w:val="yellow"/>
              </w:rPr>
            </w:pP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Yoga classes attended</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-0.914±0.473</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[-1.666, 0.217]</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0.074</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Self-practice 1-2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-1.579±2.488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[-6.937, 2.97]</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p = 0.520</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Self-practise 3-4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-1.990±2.336</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[-6.011, 2.992]</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rPr>
            </w:pPr>
            <w:r w:rsidRPr="00BC4A5E">
              <w:rPr>
                <w:sz w:val="20"/>
                <w:szCs w:val="20"/>
              </w:rPr>
              <w:t>p = 0.418</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Self-practice 5 or more times per week</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-4.863±2.187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[-9.128, -0.441]</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p = 0.033</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Gender</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sz w:val="20"/>
                <w:szCs w:val="20"/>
              </w:rPr>
            </w:pPr>
            <w:r w:rsidRPr="00BC4A5E">
              <w:rPr>
                <w:sz w:val="20"/>
                <w:szCs w:val="20"/>
              </w:rPr>
              <w:t>9.331±3.672</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[1.945, 16.639]</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sz w:val="20"/>
                <w:szCs w:val="20"/>
                <w:highlight w:val="yellow"/>
              </w:rPr>
            </w:pPr>
            <w:r w:rsidRPr="00BC4A5E">
              <w:rPr>
                <w:sz w:val="20"/>
                <w:szCs w:val="20"/>
              </w:rPr>
              <w:t>p = 0.018</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Age</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0.019±0.082</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[-0.144, 0.174]</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0.814</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Ethnicity</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-1.676±1.997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[-5.666, 2.195]</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0.404</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Relationship Status</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3.007±2.18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[-1.508, 7.092]</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0.189</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317"/>
              <w:rPr>
                <w:rFonts w:cstheme="minorHAnsi"/>
                <w:sz w:val="20"/>
                <w:szCs w:val="20"/>
              </w:rPr>
            </w:pPr>
            <w:r w:rsidRPr="00BC4A5E">
              <w:rPr>
                <w:rFonts w:cstheme="minorHAnsi"/>
                <w:sz w:val="20"/>
                <w:szCs w:val="20"/>
              </w:rPr>
              <w:t>Educational qualifications achieved</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-2.913±1.042</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[-4.947, -0.825]</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0.019</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317"/>
              <w:rPr>
                <w:rFonts w:cstheme="minorHAnsi"/>
                <w:sz w:val="20"/>
                <w:szCs w:val="20"/>
              </w:rPr>
            </w:pPr>
            <w:r w:rsidRPr="00BC4A5E">
              <w:rPr>
                <w:rFonts w:cstheme="minorHAnsi"/>
                <w:sz w:val="20"/>
                <w:szCs w:val="20"/>
              </w:rPr>
              <w:t>Psychological Distress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0.266±0.17</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[-0.07, 0.607]</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0.126</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Perceived Stress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-0.056±0.048</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[-0.17, 0.033]</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0.185</w:t>
            </w:r>
          </w:p>
        </w:tc>
      </w:tr>
      <w:tr w:rsidR="00BC4A5E" w:rsidRPr="00BC4A5E" w:rsidTr="00BC4A5E">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284"/>
              <w:rPr>
                <w:rFonts w:cstheme="minorHAnsi"/>
                <w:sz w:val="20"/>
                <w:szCs w:val="20"/>
              </w:rPr>
            </w:pPr>
            <w:r w:rsidRPr="00BC4A5E">
              <w:rPr>
                <w:rFonts w:cstheme="minorHAnsi"/>
                <w:sz w:val="20"/>
                <w:szCs w:val="20"/>
              </w:rPr>
              <w:t>Positive Affect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0.077±0.105</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[-0.123, 0.288]</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0.472</w:t>
            </w:r>
          </w:p>
        </w:tc>
      </w:tr>
      <w:tr w:rsidR="00BC4A5E" w:rsidRPr="00BC4A5E" w:rsidTr="00BC4A5E">
        <w:trPr>
          <w:trHeight w:val="349"/>
        </w:trPr>
        <w:tc>
          <w:tcPr>
            <w:tcW w:w="4503" w:type="dxa"/>
            <w:tcBorders>
              <w:top w:val="nil"/>
              <w:left w:val="nil"/>
              <w:bottom w:val="nil"/>
              <w:right w:val="single" w:sz="4" w:space="0" w:color="auto"/>
            </w:tcBorders>
          </w:tcPr>
          <w:p w:rsidR="00BC4A5E" w:rsidRPr="00BC4A5E" w:rsidRDefault="00BC4A5E" w:rsidP="00BC4A5E">
            <w:pPr>
              <w:keepNext/>
              <w:autoSpaceDE w:val="0"/>
              <w:autoSpaceDN w:val="0"/>
              <w:adjustRightInd w:val="0"/>
              <w:ind w:left="317"/>
              <w:rPr>
                <w:rFonts w:cstheme="minorHAnsi"/>
                <w:sz w:val="20"/>
                <w:szCs w:val="20"/>
              </w:rPr>
            </w:pPr>
            <w:r w:rsidRPr="00BC4A5E">
              <w:rPr>
                <w:rFonts w:cstheme="minorHAnsi"/>
                <w:sz w:val="20"/>
                <w:szCs w:val="20"/>
              </w:rPr>
              <w:t>Negative Affect at T1</w:t>
            </w:r>
          </w:p>
        </w:tc>
        <w:tc>
          <w:tcPr>
            <w:tcW w:w="1734" w:type="dxa"/>
            <w:tcBorders>
              <w:top w:val="nil"/>
              <w:left w:val="single" w:sz="4" w:space="0" w:color="auto"/>
              <w:bottom w:val="nil"/>
              <w:right w:val="single" w:sz="4" w:space="0" w:color="auto"/>
            </w:tcBorders>
          </w:tcPr>
          <w:p w:rsidR="00BC4A5E" w:rsidRPr="00BC4A5E" w:rsidRDefault="00BC4A5E" w:rsidP="00BC4A5E">
            <w:pPr>
              <w:keepNext/>
              <w:autoSpaceDE w:val="0"/>
              <w:autoSpaceDN w:val="0"/>
              <w:adjustRightInd w:val="0"/>
              <w:rPr>
                <w:rFonts w:cstheme="minorHAnsi"/>
                <w:sz w:val="20"/>
                <w:szCs w:val="20"/>
              </w:rPr>
            </w:pPr>
            <w:r w:rsidRPr="00BC4A5E">
              <w:rPr>
                <w:sz w:val="20"/>
                <w:szCs w:val="20"/>
              </w:rPr>
              <w:t>-0.563±0.186</w:t>
            </w:r>
          </w:p>
        </w:tc>
        <w:tc>
          <w:tcPr>
            <w:tcW w:w="1843"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[-0.931, -0.187]</w:t>
            </w:r>
          </w:p>
        </w:tc>
        <w:tc>
          <w:tcPr>
            <w:tcW w:w="1728" w:type="dxa"/>
            <w:tcBorders>
              <w:top w:val="nil"/>
              <w:left w:val="single" w:sz="4" w:space="0" w:color="auto"/>
              <w:bottom w:val="nil"/>
              <w:right w:val="nil"/>
            </w:tcBorders>
          </w:tcPr>
          <w:p w:rsidR="00BC4A5E" w:rsidRPr="00BC4A5E" w:rsidRDefault="00BC4A5E" w:rsidP="00BC4A5E">
            <w:pPr>
              <w:keepNext/>
              <w:autoSpaceDE w:val="0"/>
              <w:autoSpaceDN w:val="0"/>
              <w:adjustRightInd w:val="0"/>
              <w:rPr>
                <w:rFonts w:cstheme="minorHAnsi"/>
                <w:sz w:val="20"/>
                <w:szCs w:val="20"/>
                <w:highlight w:val="yellow"/>
              </w:rPr>
            </w:pPr>
            <w:r w:rsidRPr="00BC4A5E">
              <w:rPr>
                <w:sz w:val="20"/>
                <w:szCs w:val="20"/>
              </w:rPr>
              <w:t>p = 0.006</w:t>
            </w:r>
          </w:p>
        </w:tc>
      </w:tr>
    </w:tbl>
    <w:p w:rsidR="00BC4A5E" w:rsidRPr="00BC4A5E" w:rsidRDefault="00BC4A5E" w:rsidP="00BC4A5E">
      <w:pPr>
        <w:pStyle w:val="NoSpacing"/>
      </w:pPr>
    </w:p>
    <w:sectPr w:rsidR="00BC4A5E" w:rsidRPr="00BC4A5E" w:rsidSect="00BC4A5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1"/>
    <w:rsid w:val="000E48EA"/>
    <w:rsid w:val="00846BA1"/>
    <w:rsid w:val="008E5075"/>
    <w:rsid w:val="00BC4A5E"/>
    <w:rsid w:val="00C6234A"/>
    <w:rsid w:val="00F3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2B2F-2444-435C-90A0-84766BD1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671</Words>
  <Characters>3828</Characters>
  <Application>Microsoft Office Word</Application>
  <DocSecurity>0</DocSecurity>
  <Lines>31</Lines>
  <Paragraphs>8</Paragraphs>
  <ScaleCrop>false</ScaleCrop>
  <Company>University of Oxford</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amyb</dc:creator>
  <cp:keywords/>
  <dc:description/>
  <cp:lastModifiedBy>amyb</cp:lastModifiedBy>
  <cp:revision>5</cp:revision>
  <dcterms:created xsi:type="dcterms:W3CDTF">2014-10-15T10:08:00Z</dcterms:created>
  <dcterms:modified xsi:type="dcterms:W3CDTF">2015-06-22T09:08:00Z</dcterms:modified>
</cp:coreProperties>
</file>