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26" w:rsidRPr="00775A26" w:rsidRDefault="00775A26" w:rsidP="00775A26">
      <w:pPr>
        <w:pStyle w:val="a0"/>
        <w:spacing w:before="180" w:after="180"/>
        <w:jc w:val="both"/>
        <w:rPr>
          <w:sz w:val="22"/>
          <w:szCs w:val="22"/>
        </w:rPr>
      </w:pPr>
      <w:r w:rsidRPr="00775A26">
        <w:rPr>
          <w:b/>
          <w:sz w:val="22"/>
          <w:szCs w:val="22"/>
        </w:rPr>
        <w:t xml:space="preserve">Supplementary Table </w:t>
      </w:r>
      <w:r w:rsidR="0046431E">
        <w:rPr>
          <w:b/>
          <w:sz w:val="22"/>
          <w:szCs w:val="22"/>
        </w:rPr>
        <w:t>4</w:t>
      </w:r>
      <w:bookmarkStart w:id="0" w:name="_GoBack"/>
      <w:bookmarkEnd w:id="0"/>
      <w:r w:rsidRPr="00775A26">
        <w:rPr>
          <w:rFonts w:hint="eastAsia"/>
          <w:b/>
          <w:sz w:val="22"/>
          <w:szCs w:val="22"/>
        </w:rPr>
        <w:t>:</w:t>
      </w:r>
      <w:r w:rsidRPr="00775A26">
        <w:rPr>
          <w:rFonts w:hint="eastAsia"/>
          <w:sz w:val="22"/>
          <w:szCs w:val="22"/>
        </w:rPr>
        <w:t xml:space="preserve"> </w:t>
      </w:r>
      <w:r w:rsidRPr="00775A26">
        <w:rPr>
          <w:sz w:val="22"/>
          <w:szCs w:val="22"/>
        </w:rPr>
        <w:t>Preoperative FSV deficiencies in cholestatic patients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697"/>
        <w:gridCol w:w="1288"/>
        <w:gridCol w:w="1636"/>
      </w:tblGrid>
      <w:tr w:rsidR="00775A26" w:rsidRPr="003B1917" w:rsidTr="00C461B1">
        <w:trPr>
          <w:jc w:val="center"/>
        </w:trPr>
        <w:tc>
          <w:tcPr>
            <w:tcW w:w="2901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Variables</w:t>
            </w:r>
          </w:p>
        </w:tc>
        <w:tc>
          <w:tcPr>
            <w:tcW w:w="2697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Interquartile range (IQR)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Deficiency</w:t>
            </w:r>
          </w:p>
        </w:tc>
        <w:tc>
          <w:tcPr>
            <w:tcW w:w="1636" w:type="dxa"/>
            <w:tcBorders>
              <w:top w:val="single" w:sz="8" w:space="0" w:color="000000"/>
              <w:bottom w:val="single" w:sz="2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Percentage of deficiency</w:t>
            </w:r>
          </w:p>
        </w:tc>
      </w:tr>
      <w:tr w:rsidR="00775A26" w:rsidRPr="003B1917" w:rsidTr="00C461B1">
        <w:trPr>
          <w:jc w:val="center"/>
        </w:trPr>
        <w:tc>
          <w:tcPr>
            <w:tcW w:w="2901" w:type="dxa"/>
            <w:tcBorders>
              <w:top w:val="single" w:sz="2" w:space="0" w:color="000000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Vitamin A (μmol/L)</w:t>
            </w:r>
          </w:p>
        </w:tc>
        <w:tc>
          <w:tcPr>
            <w:tcW w:w="2697" w:type="dxa"/>
            <w:tcBorders>
              <w:top w:val="single" w:sz="2" w:space="0" w:color="000000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0.9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0.6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1.2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single" w:sz="2" w:space="0" w:color="000000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&lt; 0.52</w:t>
            </w:r>
          </w:p>
        </w:tc>
        <w:tc>
          <w:tcPr>
            <w:tcW w:w="1636" w:type="dxa"/>
            <w:tcBorders>
              <w:top w:val="single" w:sz="2" w:space="0" w:color="000000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13.3%</w:t>
            </w:r>
          </w:p>
        </w:tc>
      </w:tr>
      <w:tr w:rsidR="00775A26" w:rsidRPr="003B1917" w:rsidTr="00C461B1">
        <w:trPr>
          <w:jc w:val="center"/>
        </w:trPr>
        <w:tc>
          <w:tcPr>
            <w:tcW w:w="2901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Vitamin D (nmol/L)</w:t>
            </w:r>
          </w:p>
        </w:tc>
        <w:tc>
          <w:tcPr>
            <w:tcW w:w="2697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37.2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30.4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43.4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&lt;25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6.7%</w:t>
            </w:r>
          </w:p>
        </w:tc>
      </w:tr>
      <w:tr w:rsidR="00775A26" w:rsidRPr="003B1917" w:rsidTr="00C461B1">
        <w:trPr>
          <w:jc w:val="center"/>
        </w:trPr>
        <w:tc>
          <w:tcPr>
            <w:tcW w:w="2901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rFonts w:hint="eastAsia"/>
                <w:sz w:val="18"/>
                <w:szCs w:val="18"/>
              </w:rPr>
              <w:t>25-(OH)D</w:t>
            </w:r>
            <w:r w:rsidRPr="003B1917">
              <w:rPr>
                <w:sz w:val="18"/>
                <w:szCs w:val="18"/>
              </w:rPr>
              <w:t xml:space="preserve"> (ng/ml)</w:t>
            </w:r>
          </w:p>
        </w:tc>
        <w:tc>
          <w:tcPr>
            <w:tcW w:w="2697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4.0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3.4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8.3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&lt;10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85.7%</w:t>
            </w:r>
          </w:p>
        </w:tc>
      </w:tr>
      <w:tr w:rsidR="00775A26" w:rsidRPr="003B1917" w:rsidTr="00C461B1">
        <w:trPr>
          <w:jc w:val="center"/>
        </w:trPr>
        <w:tc>
          <w:tcPr>
            <w:tcW w:w="2901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Vitamin E (ng/ml)</w:t>
            </w:r>
          </w:p>
        </w:tc>
        <w:tc>
          <w:tcPr>
            <w:tcW w:w="2697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10.9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10.4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12.6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&gt;1.2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2.2%</w:t>
            </w:r>
          </w:p>
        </w:tc>
      </w:tr>
      <w:tr w:rsidR="00775A26" w:rsidRPr="003B1917" w:rsidTr="00C461B1">
        <w:trPr>
          <w:jc w:val="center"/>
        </w:trPr>
        <w:tc>
          <w:tcPr>
            <w:tcW w:w="2901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International normalized ratio (INR)</w:t>
            </w:r>
          </w:p>
        </w:tc>
        <w:tc>
          <w:tcPr>
            <w:tcW w:w="2697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0.9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1.1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&gt;14.8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11.1%</w:t>
            </w:r>
          </w:p>
        </w:tc>
      </w:tr>
      <w:tr w:rsidR="00775A26" w:rsidRPr="003B1917" w:rsidTr="00C461B1">
        <w:trPr>
          <w:trHeight w:val="305"/>
          <w:jc w:val="center"/>
        </w:trPr>
        <w:tc>
          <w:tcPr>
            <w:tcW w:w="2901" w:type="dxa"/>
            <w:tcBorders>
              <w:top w:val="nil"/>
              <w:bottom w:val="single" w:sz="8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Prothrombin time (s)</w:t>
            </w:r>
          </w:p>
        </w:tc>
        <w:tc>
          <w:tcPr>
            <w:tcW w:w="2697" w:type="dxa"/>
            <w:tcBorders>
              <w:top w:val="nil"/>
              <w:bottom w:val="single" w:sz="8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13.1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12.3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14.0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op w:val="nil"/>
              <w:bottom w:val="single" w:sz="8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&lt;15</w:t>
            </w:r>
          </w:p>
        </w:tc>
        <w:tc>
          <w:tcPr>
            <w:tcW w:w="1636" w:type="dxa"/>
            <w:tcBorders>
              <w:top w:val="nil"/>
              <w:bottom w:val="single" w:sz="8" w:space="0" w:color="000000"/>
            </w:tcBorders>
            <w:vAlign w:val="bottom"/>
          </w:tcPr>
          <w:p w:rsidR="00775A26" w:rsidRPr="003B1917" w:rsidRDefault="00775A26" w:rsidP="00C461B1">
            <w:pPr>
              <w:pStyle w:val="a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15.6%</w:t>
            </w:r>
          </w:p>
        </w:tc>
      </w:tr>
    </w:tbl>
    <w:p w:rsidR="00775A26" w:rsidRPr="003B1917" w:rsidRDefault="00775A26" w:rsidP="00775A26">
      <w:pPr>
        <w:rPr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ED" w:rsidRDefault="00B14FED" w:rsidP="00775A26">
      <w:r>
        <w:separator/>
      </w:r>
    </w:p>
  </w:endnote>
  <w:endnote w:type="continuationSeparator" w:id="0">
    <w:p w:rsidR="00B14FED" w:rsidRDefault="00B14FED" w:rsidP="007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ED" w:rsidRDefault="00B14FED" w:rsidP="00775A26">
      <w:r>
        <w:separator/>
      </w:r>
    </w:p>
  </w:footnote>
  <w:footnote w:type="continuationSeparator" w:id="0">
    <w:p w:rsidR="00B14FED" w:rsidRDefault="00B14FED" w:rsidP="0077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80DE9"/>
    <w:rsid w:val="00323B43"/>
    <w:rsid w:val="003D37D8"/>
    <w:rsid w:val="00426133"/>
    <w:rsid w:val="004358AB"/>
    <w:rsid w:val="0046431E"/>
    <w:rsid w:val="00775A26"/>
    <w:rsid w:val="007A3DAE"/>
    <w:rsid w:val="008B7726"/>
    <w:rsid w:val="00B14FED"/>
    <w:rsid w:val="00BE1934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7B3F00-7554-4391-B209-6A7747F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2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2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Microsoft YaHei" w:hAnsi="Tahoma" w:cstheme="minorBid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5A26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A2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Microsoft YaHei" w:hAnsi="Tahoma" w:cstheme="minorBid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5A26"/>
    <w:rPr>
      <w:rFonts w:ascii="Tahoma" w:hAnsi="Tahoma"/>
      <w:sz w:val="18"/>
      <w:szCs w:val="18"/>
    </w:rPr>
  </w:style>
  <w:style w:type="character" w:customStyle="1" w:styleId="Char">
    <w:name w:val="表格 Char"/>
    <w:link w:val="a"/>
    <w:rsid w:val="00775A26"/>
    <w:rPr>
      <w:rFonts w:ascii="Times New Roman" w:hAnsi="Times New Roman"/>
      <w:szCs w:val="21"/>
    </w:rPr>
  </w:style>
  <w:style w:type="character" w:customStyle="1" w:styleId="Char0">
    <w:name w:val="表题 Char"/>
    <w:link w:val="a0"/>
    <w:rsid w:val="00775A26"/>
    <w:rPr>
      <w:rFonts w:ascii="Times New Roman" w:eastAsia="SimSun" w:hAnsi="Times New Roman" w:cs="Times New Roman"/>
      <w:sz w:val="24"/>
      <w:szCs w:val="24"/>
    </w:rPr>
  </w:style>
  <w:style w:type="paragraph" w:customStyle="1" w:styleId="a">
    <w:name w:val="表格"/>
    <w:next w:val="Normal"/>
    <w:link w:val="Char"/>
    <w:rsid w:val="00775A26"/>
    <w:pPr>
      <w:spacing w:after="0" w:line="240" w:lineRule="auto"/>
    </w:pPr>
    <w:rPr>
      <w:rFonts w:ascii="Times New Roman" w:hAnsi="Times New Roman"/>
      <w:szCs w:val="21"/>
    </w:rPr>
  </w:style>
  <w:style w:type="paragraph" w:customStyle="1" w:styleId="a0">
    <w:name w:val="表题"/>
    <w:basedOn w:val="Normal"/>
    <w:link w:val="Char0"/>
    <w:qFormat/>
    <w:rsid w:val="00775A26"/>
    <w:pPr>
      <w:spacing w:beforeLines="50" w:afterLines="50" w:line="400" w:lineRule="exact"/>
      <w:jc w:val="center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Banua, Arvin</cp:lastModifiedBy>
  <cp:revision>4</cp:revision>
  <dcterms:created xsi:type="dcterms:W3CDTF">2008-09-11T17:20:00Z</dcterms:created>
  <dcterms:modified xsi:type="dcterms:W3CDTF">2017-05-25T19:37:00Z</dcterms:modified>
</cp:coreProperties>
</file>