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27" w:rsidRDefault="00515FCE">
      <w:pPr>
        <w:rPr>
          <w:b/>
          <w:sz w:val="28"/>
          <w:szCs w:val="28"/>
        </w:rPr>
      </w:pPr>
      <w:r w:rsidRPr="008B4346">
        <w:rPr>
          <w:b/>
          <w:sz w:val="28"/>
          <w:szCs w:val="28"/>
        </w:rPr>
        <w:t xml:space="preserve">Supplementary </w:t>
      </w:r>
      <w:r w:rsidR="00ED6DBE">
        <w:rPr>
          <w:b/>
          <w:sz w:val="28"/>
          <w:szCs w:val="28"/>
        </w:rPr>
        <w:t>Information</w:t>
      </w:r>
      <w:bookmarkStart w:id="0" w:name="_GoBack"/>
      <w:bookmarkEnd w:id="0"/>
    </w:p>
    <w:tbl>
      <w:tblPr>
        <w:tblStyle w:val="Tabel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520C2" w:rsidRPr="001916B4" w:rsidTr="00421C3B">
        <w:tc>
          <w:tcPr>
            <w:tcW w:w="9212" w:type="dxa"/>
            <w:gridSpan w:val="2"/>
          </w:tcPr>
          <w:p w:rsidR="008520C2" w:rsidRPr="0017348F" w:rsidRDefault="008520C2" w:rsidP="00421C3B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Table S1</w:t>
            </w:r>
            <w:r>
              <w:rPr>
                <w:sz w:val="20"/>
                <w:szCs w:val="20"/>
                <w:lang w:val="en-GB"/>
              </w:rPr>
              <w:t>. Other individuals used to compare our results with. The different species/populations all have their own demographic history and thus their own interpretation of results and the comparison.</w:t>
            </w:r>
          </w:p>
        </w:tc>
      </w:tr>
      <w:tr w:rsidR="008520C2" w:rsidRPr="008B4346" w:rsidTr="00421C3B">
        <w:tc>
          <w:tcPr>
            <w:tcW w:w="3085" w:type="dxa"/>
          </w:tcPr>
          <w:p w:rsidR="008520C2" w:rsidRPr="0017348F" w:rsidRDefault="008520C2" w:rsidP="00421C3B">
            <w:pPr>
              <w:rPr>
                <w:b/>
                <w:sz w:val="20"/>
                <w:szCs w:val="20"/>
                <w:lang w:val="en-GB"/>
              </w:rPr>
            </w:pPr>
            <w:r w:rsidRPr="0017348F">
              <w:rPr>
                <w:b/>
                <w:sz w:val="20"/>
                <w:szCs w:val="20"/>
                <w:lang w:val="en-GB"/>
              </w:rPr>
              <w:t>Species</w:t>
            </w:r>
          </w:p>
        </w:tc>
        <w:tc>
          <w:tcPr>
            <w:tcW w:w="6127" w:type="dxa"/>
          </w:tcPr>
          <w:p w:rsidR="008520C2" w:rsidRPr="0017348F" w:rsidRDefault="008520C2" w:rsidP="00421C3B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Description</w:t>
            </w:r>
          </w:p>
        </w:tc>
      </w:tr>
      <w:tr w:rsidR="008520C2" w:rsidRPr="001916B4" w:rsidTr="00421C3B">
        <w:tc>
          <w:tcPr>
            <w:tcW w:w="3085" w:type="dxa"/>
          </w:tcPr>
          <w:p w:rsidR="008520C2" w:rsidRPr="0017348F" w:rsidRDefault="008520C2" w:rsidP="00421C3B">
            <w:pPr>
              <w:rPr>
                <w:i/>
                <w:sz w:val="20"/>
                <w:szCs w:val="20"/>
                <w:lang w:val="en-GB"/>
              </w:rPr>
            </w:pPr>
            <w:r w:rsidRPr="0017348F">
              <w:rPr>
                <w:i/>
                <w:sz w:val="20"/>
                <w:szCs w:val="20"/>
                <w:lang w:val="en-GB"/>
              </w:rPr>
              <w:t>Sus verrucosus</w:t>
            </w:r>
          </w:p>
        </w:tc>
        <w:tc>
          <w:tcPr>
            <w:tcW w:w="6127" w:type="dxa"/>
          </w:tcPr>
          <w:p w:rsidR="008520C2" w:rsidRPr="0017348F" w:rsidRDefault="008520C2" w:rsidP="00421C3B">
            <w:pPr>
              <w:rPr>
                <w:sz w:val="20"/>
                <w:szCs w:val="20"/>
                <w:lang w:val="en-GB"/>
              </w:rPr>
            </w:pPr>
            <w:r w:rsidRPr="0017348F">
              <w:rPr>
                <w:sz w:val="20"/>
                <w:szCs w:val="20"/>
                <w:lang w:val="en-GB"/>
              </w:rPr>
              <w:t>Javan warty pig, lives in Indonesia (Java), this sample is from inbred zoo animal, originated from very small source population.</w:t>
            </w:r>
          </w:p>
        </w:tc>
      </w:tr>
      <w:tr w:rsidR="008520C2" w:rsidRPr="001916B4" w:rsidTr="00421C3B">
        <w:tc>
          <w:tcPr>
            <w:tcW w:w="3085" w:type="dxa"/>
          </w:tcPr>
          <w:p w:rsidR="008520C2" w:rsidRPr="0017348F" w:rsidRDefault="008520C2" w:rsidP="00421C3B">
            <w:pPr>
              <w:rPr>
                <w:i/>
                <w:sz w:val="20"/>
                <w:szCs w:val="20"/>
                <w:lang w:val="en-GB"/>
              </w:rPr>
            </w:pPr>
            <w:r w:rsidRPr="0017348F">
              <w:rPr>
                <w:i/>
                <w:sz w:val="20"/>
                <w:szCs w:val="20"/>
                <w:lang w:val="en-GB"/>
              </w:rPr>
              <w:t>Sus barbatus</w:t>
            </w:r>
          </w:p>
        </w:tc>
        <w:tc>
          <w:tcPr>
            <w:tcW w:w="6127" w:type="dxa"/>
          </w:tcPr>
          <w:p w:rsidR="008520C2" w:rsidRPr="0017348F" w:rsidRDefault="008520C2" w:rsidP="00421C3B">
            <w:pPr>
              <w:rPr>
                <w:sz w:val="20"/>
                <w:szCs w:val="20"/>
                <w:lang w:val="en-GB"/>
              </w:rPr>
            </w:pPr>
            <w:r w:rsidRPr="0017348F">
              <w:rPr>
                <w:sz w:val="20"/>
                <w:szCs w:val="20"/>
                <w:lang w:val="en-GB"/>
              </w:rPr>
              <w:t>Bearded pig, lives in Indonesia and Malaysia, probably large outbred population present.</w:t>
            </w:r>
          </w:p>
        </w:tc>
      </w:tr>
      <w:tr w:rsidR="008520C2" w:rsidRPr="001916B4" w:rsidTr="00421C3B">
        <w:tc>
          <w:tcPr>
            <w:tcW w:w="3085" w:type="dxa"/>
          </w:tcPr>
          <w:p w:rsidR="008520C2" w:rsidRPr="0017348F" w:rsidRDefault="008520C2" w:rsidP="00421C3B">
            <w:pPr>
              <w:rPr>
                <w:i/>
                <w:sz w:val="20"/>
                <w:szCs w:val="20"/>
                <w:lang w:val="en-GB"/>
              </w:rPr>
            </w:pPr>
            <w:r w:rsidRPr="0017348F">
              <w:rPr>
                <w:i/>
                <w:sz w:val="20"/>
                <w:szCs w:val="20"/>
                <w:lang w:val="en-GB"/>
              </w:rPr>
              <w:t>Sus celebensis</w:t>
            </w:r>
          </w:p>
        </w:tc>
        <w:tc>
          <w:tcPr>
            <w:tcW w:w="6127" w:type="dxa"/>
          </w:tcPr>
          <w:p w:rsidR="008520C2" w:rsidRPr="0017348F" w:rsidRDefault="008520C2" w:rsidP="00421C3B">
            <w:pPr>
              <w:rPr>
                <w:sz w:val="20"/>
                <w:szCs w:val="20"/>
                <w:lang w:val="en-GB"/>
              </w:rPr>
            </w:pPr>
            <w:r w:rsidRPr="0017348F">
              <w:rPr>
                <w:sz w:val="20"/>
                <w:szCs w:val="20"/>
                <w:lang w:val="en-GB"/>
              </w:rPr>
              <w:t>Sulawesi warty pig, lives in Indonesia (Sulawesi), probably large outbred population present.</w:t>
            </w:r>
          </w:p>
        </w:tc>
      </w:tr>
      <w:tr w:rsidR="008520C2" w:rsidRPr="001916B4" w:rsidTr="00421C3B">
        <w:tc>
          <w:tcPr>
            <w:tcW w:w="3085" w:type="dxa"/>
          </w:tcPr>
          <w:p w:rsidR="008520C2" w:rsidRPr="0017348F" w:rsidRDefault="008520C2" w:rsidP="00421C3B">
            <w:pPr>
              <w:rPr>
                <w:i/>
                <w:sz w:val="20"/>
                <w:szCs w:val="20"/>
                <w:lang w:val="en-GB"/>
              </w:rPr>
            </w:pPr>
            <w:r w:rsidRPr="0017348F">
              <w:rPr>
                <w:i/>
                <w:sz w:val="20"/>
                <w:szCs w:val="20"/>
                <w:lang w:val="en-GB"/>
              </w:rPr>
              <w:t xml:space="preserve">Sus scrofa – </w:t>
            </w:r>
            <w:r w:rsidRPr="0017348F">
              <w:rPr>
                <w:sz w:val="20"/>
                <w:szCs w:val="20"/>
                <w:lang w:val="en-GB"/>
              </w:rPr>
              <w:t>Asian domestic</w:t>
            </w:r>
          </w:p>
        </w:tc>
        <w:tc>
          <w:tcPr>
            <w:tcW w:w="6127" w:type="dxa"/>
          </w:tcPr>
          <w:p w:rsidR="008520C2" w:rsidRPr="0017348F" w:rsidRDefault="008520C2" w:rsidP="00421C3B">
            <w:pPr>
              <w:rPr>
                <w:sz w:val="20"/>
                <w:szCs w:val="20"/>
                <w:lang w:val="en-GB"/>
              </w:rPr>
            </w:pPr>
            <w:r w:rsidRPr="0017348F">
              <w:rPr>
                <w:sz w:val="20"/>
                <w:szCs w:val="20"/>
                <w:lang w:val="en-GB"/>
              </w:rPr>
              <w:t>Domestic breed (Meishan) originated from Asian wild boar, limited population size.</w:t>
            </w:r>
          </w:p>
        </w:tc>
      </w:tr>
      <w:tr w:rsidR="008520C2" w:rsidRPr="009564CE" w:rsidTr="00421C3B">
        <w:tc>
          <w:tcPr>
            <w:tcW w:w="3085" w:type="dxa"/>
          </w:tcPr>
          <w:p w:rsidR="008520C2" w:rsidRPr="0017348F" w:rsidRDefault="008520C2" w:rsidP="00421C3B">
            <w:pPr>
              <w:rPr>
                <w:i/>
                <w:sz w:val="20"/>
                <w:szCs w:val="20"/>
                <w:lang w:val="en-GB"/>
              </w:rPr>
            </w:pPr>
            <w:r w:rsidRPr="0017348F">
              <w:rPr>
                <w:i/>
                <w:sz w:val="20"/>
                <w:szCs w:val="20"/>
                <w:lang w:val="en-GB"/>
              </w:rPr>
              <w:t xml:space="preserve">Sus scrofa – </w:t>
            </w:r>
            <w:r w:rsidRPr="0017348F">
              <w:rPr>
                <w:sz w:val="20"/>
                <w:szCs w:val="20"/>
                <w:lang w:val="en-GB"/>
              </w:rPr>
              <w:t>Asian wild</w:t>
            </w:r>
          </w:p>
        </w:tc>
        <w:tc>
          <w:tcPr>
            <w:tcW w:w="6127" w:type="dxa"/>
          </w:tcPr>
          <w:p w:rsidR="008520C2" w:rsidRPr="0017348F" w:rsidRDefault="008520C2" w:rsidP="00421C3B">
            <w:pPr>
              <w:rPr>
                <w:sz w:val="20"/>
                <w:szCs w:val="20"/>
                <w:lang w:val="en-GB"/>
              </w:rPr>
            </w:pPr>
            <w:r w:rsidRPr="0017348F">
              <w:rPr>
                <w:sz w:val="20"/>
                <w:szCs w:val="20"/>
                <w:lang w:val="en-GB"/>
              </w:rPr>
              <w:t>Asian wild boar, large outbred population for long time, these samples are from North and South China. Sample from Japan experienced very severe bottleneck but recovered.</w:t>
            </w:r>
          </w:p>
        </w:tc>
      </w:tr>
      <w:tr w:rsidR="008520C2" w:rsidRPr="001916B4" w:rsidTr="00421C3B">
        <w:tc>
          <w:tcPr>
            <w:tcW w:w="3085" w:type="dxa"/>
          </w:tcPr>
          <w:p w:rsidR="008520C2" w:rsidRPr="0017348F" w:rsidRDefault="008520C2" w:rsidP="00421C3B">
            <w:pPr>
              <w:rPr>
                <w:i/>
                <w:sz w:val="20"/>
                <w:szCs w:val="20"/>
                <w:lang w:val="en-GB"/>
              </w:rPr>
            </w:pPr>
            <w:r w:rsidRPr="0017348F">
              <w:rPr>
                <w:i/>
                <w:sz w:val="20"/>
                <w:szCs w:val="20"/>
                <w:lang w:val="en-GB"/>
              </w:rPr>
              <w:t xml:space="preserve">Sus scrofa – </w:t>
            </w:r>
            <w:r w:rsidRPr="0017348F">
              <w:rPr>
                <w:sz w:val="20"/>
                <w:szCs w:val="20"/>
                <w:lang w:val="en-GB"/>
              </w:rPr>
              <w:t>European domestic</w:t>
            </w:r>
          </w:p>
        </w:tc>
        <w:tc>
          <w:tcPr>
            <w:tcW w:w="6127" w:type="dxa"/>
          </w:tcPr>
          <w:p w:rsidR="008520C2" w:rsidRPr="0017348F" w:rsidRDefault="008520C2" w:rsidP="00421C3B">
            <w:pPr>
              <w:rPr>
                <w:sz w:val="20"/>
                <w:szCs w:val="20"/>
                <w:lang w:val="en-GB"/>
              </w:rPr>
            </w:pPr>
            <w:r w:rsidRPr="0017348F">
              <w:rPr>
                <w:sz w:val="20"/>
                <w:szCs w:val="20"/>
                <w:lang w:val="en-GB"/>
              </w:rPr>
              <w:t>Domestic breed (Large White) originated from European wild boar but admixed with Chinese domestic breeds.</w:t>
            </w:r>
          </w:p>
        </w:tc>
      </w:tr>
      <w:tr w:rsidR="008520C2" w:rsidRPr="001916B4" w:rsidTr="00421C3B">
        <w:tc>
          <w:tcPr>
            <w:tcW w:w="3085" w:type="dxa"/>
          </w:tcPr>
          <w:p w:rsidR="008520C2" w:rsidRPr="0017348F" w:rsidRDefault="008520C2" w:rsidP="00421C3B">
            <w:pPr>
              <w:rPr>
                <w:i/>
                <w:sz w:val="20"/>
                <w:szCs w:val="20"/>
                <w:lang w:val="en-GB"/>
              </w:rPr>
            </w:pPr>
            <w:r w:rsidRPr="0017348F">
              <w:rPr>
                <w:i/>
                <w:sz w:val="20"/>
                <w:szCs w:val="20"/>
                <w:lang w:val="en-GB"/>
              </w:rPr>
              <w:t xml:space="preserve">Sus scrofa – </w:t>
            </w:r>
            <w:r w:rsidRPr="0017348F">
              <w:rPr>
                <w:sz w:val="20"/>
                <w:szCs w:val="20"/>
                <w:lang w:val="en-GB"/>
              </w:rPr>
              <w:t>European wild</w:t>
            </w:r>
          </w:p>
        </w:tc>
        <w:tc>
          <w:tcPr>
            <w:tcW w:w="6127" w:type="dxa"/>
          </w:tcPr>
          <w:p w:rsidR="008520C2" w:rsidRPr="0017348F" w:rsidRDefault="008520C2" w:rsidP="00421C3B">
            <w:pPr>
              <w:rPr>
                <w:sz w:val="20"/>
                <w:szCs w:val="20"/>
                <w:lang w:val="en-GB"/>
              </w:rPr>
            </w:pPr>
            <w:r w:rsidRPr="0017348F">
              <w:rPr>
                <w:sz w:val="20"/>
                <w:szCs w:val="20"/>
                <w:lang w:val="en-GB"/>
              </w:rPr>
              <w:t>European wild boar, originated from Asian wild boars, experienced severe bottleneck, currently fragmented population.</w:t>
            </w:r>
          </w:p>
        </w:tc>
      </w:tr>
    </w:tbl>
    <w:p w:rsidR="008520C2" w:rsidRPr="008520C2" w:rsidRDefault="008520C2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3686"/>
      </w:tblGrid>
      <w:tr w:rsidR="00D512AB" w:rsidRPr="001916B4" w:rsidTr="008520C2">
        <w:tc>
          <w:tcPr>
            <w:tcW w:w="4928" w:type="dxa"/>
            <w:gridSpan w:val="2"/>
          </w:tcPr>
          <w:p w:rsidR="00D512AB" w:rsidRPr="00D6154D" w:rsidRDefault="00D512AB" w:rsidP="008520C2">
            <w:pPr>
              <w:spacing w:line="240" w:lineRule="auto"/>
              <w:jc w:val="both"/>
              <w:rPr>
                <w:sz w:val="20"/>
                <w:szCs w:val="20"/>
                <w:lang w:val="en-GB"/>
              </w:rPr>
            </w:pPr>
            <w:r w:rsidRPr="00910828">
              <w:rPr>
                <w:b/>
                <w:sz w:val="20"/>
                <w:szCs w:val="20"/>
                <w:lang w:val="en-GB"/>
              </w:rPr>
              <w:t xml:space="preserve">Table </w:t>
            </w:r>
            <w:r w:rsidR="008520C2">
              <w:rPr>
                <w:b/>
                <w:sz w:val="20"/>
                <w:szCs w:val="20"/>
                <w:lang w:val="en-GB"/>
              </w:rPr>
              <w:t>S2.</w:t>
            </w:r>
            <w:r w:rsidRPr="00910828">
              <w:rPr>
                <w:sz w:val="20"/>
                <w:szCs w:val="20"/>
                <w:lang w:val="en-GB"/>
              </w:rPr>
              <w:t xml:space="preserve"> Cross-validation errors for all possible K-values in the Admixture analyses.</w:t>
            </w:r>
            <w:r>
              <w:rPr>
                <w:sz w:val="20"/>
                <w:szCs w:val="20"/>
                <w:lang w:val="en-GB"/>
              </w:rPr>
              <w:t xml:space="preserve"> K = 6 had the lowest cross-validation error. We used K = 2 because of prior knowledge on the origin of the samples.</w:t>
            </w:r>
          </w:p>
        </w:tc>
      </w:tr>
      <w:tr w:rsidR="00D512AB" w:rsidRPr="008520C2" w:rsidTr="008520C2">
        <w:tc>
          <w:tcPr>
            <w:tcW w:w="1242" w:type="dxa"/>
          </w:tcPr>
          <w:p w:rsidR="00D512AB" w:rsidRPr="00B513DA" w:rsidRDefault="00D512AB" w:rsidP="009B67BB">
            <w:pPr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B513DA">
              <w:rPr>
                <w:b/>
                <w:sz w:val="20"/>
                <w:szCs w:val="20"/>
                <w:lang w:val="en-GB"/>
              </w:rPr>
              <w:t>K-value</w:t>
            </w:r>
          </w:p>
        </w:tc>
        <w:tc>
          <w:tcPr>
            <w:tcW w:w="3686" w:type="dxa"/>
          </w:tcPr>
          <w:p w:rsidR="00D512AB" w:rsidRPr="00B513DA" w:rsidRDefault="00D512AB" w:rsidP="009B67BB">
            <w:pPr>
              <w:spacing w:line="240" w:lineRule="auto"/>
              <w:rPr>
                <w:b/>
                <w:sz w:val="20"/>
                <w:szCs w:val="20"/>
                <w:lang w:val="en-GB"/>
              </w:rPr>
            </w:pPr>
            <w:r w:rsidRPr="00B513DA">
              <w:rPr>
                <w:b/>
                <w:sz w:val="20"/>
                <w:szCs w:val="20"/>
                <w:lang w:val="en-GB"/>
              </w:rPr>
              <w:t>Cross-validation error</w:t>
            </w:r>
          </w:p>
        </w:tc>
      </w:tr>
      <w:tr w:rsidR="00D512AB" w:rsidRPr="008520C2" w:rsidTr="008520C2">
        <w:tc>
          <w:tcPr>
            <w:tcW w:w="1242" w:type="dxa"/>
          </w:tcPr>
          <w:p w:rsidR="00D512AB" w:rsidRPr="00B513DA" w:rsidRDefault="00D512AB" w:rsidP="009B67B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B513DA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3686" w:type="dxa"/>
          </w:tcPr>
          <w:p w:rsidR="00D512AB" w:rsidRPr="00B513DA" w:rsidRDefault="00D512AB" w:rsidP="009B67BB">
            <w:pPr>
              <w:spacing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1.35</w:t>
            </w:r>
          </w:p>
        </w:tc>
      </w:tr>
      <w:tr w:rsidR="00D512AB" w:rsidRPr="008520C2" w:rsidTr="008520C2">
        <w:tc>
          <w:tcPr>
            <w:tcW w:w="1242" w:type="dxa"/>
          </w:tcPr>
          <w:p w:rsidR="00D512AB" w:rsidRPr="00B513DA" w:rsidRDefault="00D512AB" w:rsidP="009B67B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B513DA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3686" w:type="dxa"/>
          </w:tcPr>
          <w:p w:rsidR="00D512AB" w:rsidRPr="00B513DA" w:rsidRDefault="00D512AB" w:rsidP="009B67BB">
            <w:pPr>
              <w:spacing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1.44</w:t>
            </w:r>
          </w:p>
        </w:tc>
      </w:tr>
      <w:tr w:rsidR="00D512AB" w:rsidRPr="008520C2" w:rsidTr="008520C2">
        <w:tc>
          <w:tcPr>
            <w:tcW w:w="1242" w:type="dxa"/>
          </w:tcPr>
          <w:p w:rsidR="00D512AB" w:rsidRPr="00B513DA" w:rsidRDefault="00D512AB" w:rsidP="009B67B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B513DA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3686" w:type="dxa"/>
          </w:tcPr>
          <w:p w:rsidR="00D512AB" w:rsidRPr="00B513DA" w:rsidRDefault="00D512AB" w:rsidP="009B67BB">
            <w:pPr>
              <w:spacing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1.93</w:t>
            </w:r>
          </w:p>
        </w:tc>
      </w:tr>
      <w:tr w:rsidR="00D512AB" w:rsidTr="008520C2">
        <w:tc>
          <w:tcPr>
            <w:tcW w:w="1242" w:type="dxa"/>
          </w:tcPr>
          <w:p w:rsidR="00D512AB" w:rsidRPr="00B513DA" w:rsidRDefault="00D512AB" w:rsidP="009B67B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B513DA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3686" w:type="dxa"/>
          </w:tcPr>
          <w:p w:rsidR="00D512AB" w:rsidRPr="00B513DA" w:rsidRDefault="00D512AB" w:rsidP="009B67BB">
            <w:pPr>
              <w:spacing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1.36</w:t>
            </w:r>
          </w:p>
        </w:tc>
      </w:tr>
      <w:tr w:rsidR="00D512AB" w:rsidTr="008520C2">
        <w:tc>
          <w:tcPr>
            <w:tcW w:w="1242" w:type="dxa"/>
          </w:tcPr>
          <w:p w:rsidR="00D512AB" w:rsidRPr="00B513DA" w:rsidRDefault="00D512AB" w:rsidP="009B67BB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B513DA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3686" w:type="dxa"/>
          </w:tcPr>
          <w:p w:rsidR="00D512AB" w:rsidRPr="00B513DA" w:rsidRDefault="00D512AB" w:rsidP="009B67BB">
            <w:pPr>
              <w:spacing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0.60</w:t>
            </w:r>
          </w:p>
        </w:tc>
      </w:tr>
      <w:tr w:rsidR="00D512AB" w:rsidTr="008520C2">
        <w:tc>
          <w:tcPr>
            <w:tcW w:w="1242" w:type="dxa"/>
          </w:tcPr>
          <w:p w:rsidR="00D512AB" w:rsidRPr="00B513DA" w:rsidRDefault="00D512AB" w:rsidP="009B67BB">
            <w:pPr>
              <w:spacing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3686" w:type="dxa"/>
          </w:tcPr>
          <w:p w:rsidR="00D512AB" w:rsidRPr="00B513DA" w:rsidRDefault="00D512AB" w:rsidP="009B67BB">
            <w:pPr>
              <w:spacing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0.41</w:t>
            </w:r>
          </w:p>
        </w:tc>
      </w:tr>
    </w:tbl>
    <w:p w:rsidR="00D512AB" w:rsidRDefault="00D512AB"/>
    <w:p w:rsidR="00515FCE" w:rsidRDefault="00515FCE">
      <w:pPr>
        <w:rPr>
          <w:lang w:val="en-US"/>
        </w:rPr>
      </w:pPr>
    </w:p>
    <w:p w:rsidR="00D512AB" w:rsidRDefault="00D512AB">
      <w:pPr>
        <w:rPr>
          <w:lang w:val="en-US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08987152" wp14:editId="5B3FFC40">
            <wp:extent cx="5400000" cy="301291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tz_Figure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01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2AB" w:rsidRDefault="00D512AB">
      <w:pPr>
        <w:rPr>
          <w:lang w:val="en-US"/>
        </w:rPr>
      </w:pPr>
      <w:r w:rsidRPr="0035482E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3BFF902" wp14:editId="56C0BA36">
                <wp:extent cx="5400675" cy="809625"/>
                <wp:effectExtent l="0" t="0" r="28575" b="28575"/>
                <wp:docPr id="207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2AB" w:rsidRPr="002C423E" w:rsidRDefault="00D512AB" w:rsidP="00D512AB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Figure S1</w:t>
                            </w:r>
                            <w:r w:rsidRPr="00141924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r w:rsidR="008F10EF" w:rsidRPr="001452A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Estimated effective population size of </w:t>
                            </w:r>
                            <w:r w:rsidR="008F10E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other </w:t>
                            </w:r>
                            <w:r w:rsidR="008F10EF" w:rsidRPr="001452AF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Sus</w:t>
                            </w:r>
                            <w:r w:rsidR="008F10E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species</w:t>
                            </w:r>
                            <w:r w:rsidR="008F10EF" w:rsidRPr="001452A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based individual genomes, generation time (i.e. 5 years) and mutation rate (2.5*10</w:t>
                            </w:r>
                            <w:r w:rsidR="008F10EF" w:rsidRPr="001452AF">
                              <w:rPr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-8</w:t>
                            </w:r>
                            <w:r w:rsidR="008F10EF" w:rsidRPr="001452AF">
                              <w:rPr>
                                <w:sz w:val="20"/>
                                <w:szCs w:val="20"/>
                                <w:lang w:val="en-GB"/>
                              </w:rPr>
                              <w:t>) from 10.000 (left)</w:t>
                            </w:r>
                            <w:r w:rsidR="008F10E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to 1.000.000 (right) years ago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(Frantz et al. 2013). All species experienced a bottleneck to some extent around 100.000 years ago.</w:t>
                            </w:r>
                            <w:r w:rsidR="002C423E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Sumatra1 and Sumatra 2 are wild boar populations (</w:t>
                            </w:r>
                            <w:r w:rsidR="002C423E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Sus scrofa</w:t>
                            </w:r>
                            <w:r w:rsidR="002C423E">
                              <w:rPr>
                                <w:sz w:val="20"/>
                                <w:szCs w:val="20"/>
                                <w:lang w:val="en-GB"/>
                              </w:rPr>
                              <w:t>) from Sumatra.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BFF90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425.2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">
                <v:textbox>
                  <w:txbxContent>
                    <w:p w:rsidR="00D512AB" w:rsidRPr="002C423E" w:rsidRDefault="00D512AB" w:rsidP="00D512AB">
                      <w:pPr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Figure S1</w:t>
                      </w:r>
                      <w:r w:rsidRPr="00141924">
                        <w:rPr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r w:rsidR="008F10EF" w:rsidRPr="001452AF">
                        <w:rPr>
                          <w:sz w:val="20"/>
                          <w:szCs w:val="20"/>
                          <w:lang w:val="en-GB"/>
                        </w:rPr>
                        <w:t xml:space="preserve">Estimated effective population size of </w:t>
                      </w:r>
                      <w:r w:rsidR="008F10EF">
                        <w:rPr>
                          <w:sz w:val="20"/>
                          <w:szCs w:val="20"/>
                          <w:lang w:val="en-GB"/>
                        </w:rPr>
                        <w:t xml:space="preserve">other </w:t>
                      </w:r>
                      <w:r w:rsidR="008F10EF" w:rsidRPr="001452AF">
                        <w:rPr>
                          <w:i/>
                          <w:sz w:val="20"/>
                          <w:szCs w:val="20"/>
                          <w:lang w:val="en-GB"/>
                        </w:rPr>
                        <w:t>Sus</w:t>
                      </w:r>
                      <w:r w:rsidR="008F10EF">
                        <w:rPr>
                          <w:sz w:val="20"/>
                          <w:szCs w:val="20"/>
                          <w:lang w:val="en-GB"/>
                        </w:rPr>
                        <w:t xml:space="preserve"> species</w:t>
                      </w:r>
                      <w:r w:rsidR="008F10EF" w:rsidRPr="001452AF">
                        <w:rPr>
                          <w:sz w:val="20"/>
                          <w:szCs w:val="20"/>
                          <w:lang w:val="en-GB"/>
                        </w:rPr>
                        <w:t xml:space="preserve"> based individual genomes, generation time (i.e. 5 years) and mutation rate (2.5*10</w:t>
                      </w:r>
                      <w:r w:rsidR="008F10EF" w:rsidRPr="001452AF">
                        <w:rPr>
                          <w:sz w:val="20"/>
                          <w:szCs w:val="20"/>
                          <w:vertAlign w:val="superscript"/>
                          <w:lang w:val="en-GB"/>
                        </w:rPr>
                        <w:t>-8</w:t>
                      </w:r>
                      <w:r w:rsidR="008F10EF" w:rsidRPr="001452AF">
                        <w:rPr>
                          <w:sz w:val="20"/>
                          <w:szCs w:val="20"/>
                          <w:lang w:val="en-GB"/>
                        </w:rPr>
                        <w:t>) from 10.000 (left)</w:t>
                      </w:r>
                      <w:r w:rsidR="008F10EF">
                        <w:rPr>
                          <w:sz w:val="20"/>
                          <w:szCs w:val="20"/>
                          <w:lang w:val="en-GB"/>
                        </w:rPr>
                        <w:t xml:space="preserve"> to 1.000.000 (right) years ago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(Frantz et al. 2013). All species experienced a bottleneck to some extent around 100.000 years ago.</w:t>
                      </w:r>
                      <w:r w:rsidR="002C423E">
                        <w:rPr>
                          <w:sz w:val="20"/>
                          <w:szCs w:val="20"/>
                          <w:lang w:val="en-GB"/>
                        </w:rPr>
                        <w:t xml:space="preserve"> Sumatra1 and Sumatra 2 are wild boar populations (</w:t>
                      </w:r>
                      <w:r w:rsidR="002C423E"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Sus </w:t>
                      </w:r>
                      <w:proofErr w:type="spellStart"/>
                      <w:r w:rsidR="002C423E">
                        <w:rPr>
                          <w:i/>
                          <w:sz w:val="20"/>
                          <w:szCs w:val="20"/>
                          <w:lang w:val="en-GB"/>
                        </w:rPr>
                        <w:t>scrofa</w:t>
                      </w:r>
                      <w:proofErr w:type="spellEnd"/>
                      <w:r w:rsidR="002C423E">
                        <w:rPr>
                          <w:sz w:val="20"/>
                          <w:szCs w:val="20"/>
                          <w:lang w:val="en-GB"/>
                        </w:rPr>
                        <w:t>) from Sumatra.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10EF" w:rsidRDefault="008E4E5F">
      <w:pPr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69381A4A" wp14:editId="28556D70">
            <wp:extent cx="4686300" cy="2400300"/>
            <wp:effectExtent l="0" t="0" r="19050" b="19050"/>
            <wp:docPr id="2068" name="Grafiek 20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E4E5F" w:rsidRDefault="008E4E5F">
      <w:pPr>
        <w:rPr>
          <w:lang w:val="en-US"/>
        </w:rPr>
      </w:pPr>
      <w:r w:rsidRPr="004E15B8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7CD2846F" wp14:editId="332F9CD2">
                <wp:extent cx="4714875" cy="466725"/>
                <wp:effectExtent l="0" t="0" r="28575" b="28575"/>
                <wp:docPr id="205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E5F" w:rsidRPr="001452AF" w:rsidRDefault="008E4E5F" w:rsidP="008E4E5F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Figure S2</w:t>
                            </w:r>
                            <w:r w:rsidRPr="001452A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. Total coverage as proportion of the genome of all ROHs (left of dotted line) and of ROHs per length category (right of dotted line).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D2846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371.2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" strokecolor="black [3213]">
                <v:textbox>
                  <w:txbxContent>
                    <w:p w:rsidR="008E4E5F" w:rsidRPr="001452AF" w:rsidRDefault="008E4E5F" w:rsidP="008E4E5F">
                      <w:pPr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Figure S2</w:t>
                      </w:r>
                      <w:r w:rsidRPr="001452AF">
                        <w:rPr>
                          <w:sz w:val="20"/>
                          <w:szCs w:val="20"/>
                          <w:lang w:val="en-GB"/>
                        </w:rPr>
                        <w:t xml:space="preserve">. Total coverage as proportion of the genome of all ROHs (left of dotted line) and of ROHs per length category (right of dotted line).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5C5A" w:rsidRDefault="00AB5C5A">
      <w:pPr>
        <w:rPr>
          <w:lang w:val="en-US"/>
        </w:rPr>
      </w:pPr>
      <w:r w:rsidRPr="00506735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F2F89" wp14:editId="737F9593">
                <wp:simplePos x="0" y="0"/>
                <wp:positionH relativeFrom="column">
                  <wp:posOffset>1152525</wp:posOffset>
                </wp:positionH>
                <wp:positionV relativeFrom="paragraph">
                  <wp:posOffset>102235</wp:posOffset>
                </wp:positionV>
                <wp:extent cx="0" cy="2171700"/>
                <wp:effectExtent l="0" t="0" r="19050" b="19050"/>
                <wp:wrapNone/>
                <wp:docPr id="310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5F6FF" id="Rechte verbindingslijn 11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.75pt,8.05pt" to="90.75pt,1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741E4509" wp14:editId="484B4F7F">
            <wp:extent cx="5400000" cy="2880000"/>
            <wp:effectExtent l="0" t="0" r="10795" b="15875"/>
            <wp:docPr id="308" name="Grafiek 30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4E15B8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0FA07EE" wp14:editId="730F3297">
                <wp:extent cx="5400675" cy="1066800"/>
                <wp:effectExtent l="0" t="0" r="28575" b="19050"/>
                <wp:docPr id="30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C5A" w:rsidRPr="00AA16FE" w:rsidRDefault="00AB5C5A" w:rsidP="00AB5C5A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6119D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Figure </w:t>
                            </w:r>
                            <w:r w:rsidR="008E4E5F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S3</w:t>
                            </w:r>
                            <w:r w:rsidRPr="0056119D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Total coverage as proportion of the genome of all ROHs (left of dotted line) and of ROHs per length category (right of dotted line).</w:t>
                            </w:r>
                            <w:r w:rsidRPr="0056119D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Counter to what logic predicts, not all individuals have the largest proportion of the genome covered by the longest ROHs. Many short ROHs are a sign of severe inbreeding in the past. Species description in Table S1. WB29U14 = Wild Boar South China, WB30U08 = Wild Boar North China, WB20U02 = Wild Boar Japan.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FA07EE" id="_x0000_s1028" type="#_x0000_t202" style="width:425.2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">
                <v:textbox>
                  <w:txbxContent>
                    <w:p w:rsidR="00AB5C5A" w:rsidRPr="00AA16FE" w:rsidRDefault="00AB5C5A" w:rsidP="00AB5C5A">
                      <w:pPr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56119D"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Figure </w:t>
                      </w:r>
                      <w:r w:rsidR="008E4E5F">
                        <w:rPr>
                          <w:b/>
                          <w:sz w:val="20"/>
                          <w:szCs w:val="20"/>
                          <w:lang w:val="en-GB"/>
                        </w:rPr>
                        <w:t>S3</w:t>
                      </w:r>
                      <w:r w:rsidRPr="0056119D">
                        <w:rPr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Total coverage as proportion of the genome of all ROHs (left of dotted line) and of ROHs per length category (right of dotted line).</w:t>
                      </w:r>
                      <w:r w:rsidRPr="0056119D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Counter to what logic predicts, not all individuals have the largest proportion of the genome covered by the longest ROHs. Many short ROHs are a sign of severe inbreeding in the past. Species description in Table S1. WB29U14 = Wild Boar South China, WB30U08 = Wild Boar North China, WB20U02 = Wild Boar Japan.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512AB" w:rsidRDefault="00D512AB">
      <w:pPr>
        <w:rPr>
          <w:lang w:val="en-US"/>
        </w:rPr>
      </w:pPr>
      <w:r w:rsidRPr="00506735">
        <w:rPr>
          <w:noProof/>
          <w:lang w:val="en-GB" w:eastAsia="en-GB"/>
        </w:rPr>
        <w:drawing>
          <wp:inline distT="0" distB="0" distL="0" distR="0" wp14:anchorId="0C35A444" wp14:editId="00EB721D">
            <wp:extent cx="5400000" cy="2879725"/>
            <wp:effectExtent l="0" t="0" r="10795" b="15875"/>
            <wp:docPr id="304" name="Grafiek 30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C14698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38578DB" wp14:editId="127A5DDA">
                <wp:extent cx="5400675" cy="485775"/>
                <wp:effectExtent l="0" t="0" r="28575" b="28575"/>
                <wp:docPr id="3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2AB" w:rsidRPr="00C14698" w:rsidRDefault="008E4E5F" w:rsidP="00D512AB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Figure S4</w:t>
                            </w:r>
                            <w:r w:rsidR="00D512AB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  <w:r w:rsidR="00D512AB" w:rsidRPr="00C14698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Proportion of bins (10kb) per category of SNPs per bin. On average</w:t>
                            </w:r>
                            <w:r w:rsidR="008520C2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D512AB" w:rsidRPr="00C14698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12 SNPs per bin were found in </w:t>
                            </w:r>
                            <w:r w:rsidR="00D512AB" w:rsidRPr="00C14698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Sus cebifrons</w:t>
                            </w:r>
                            <w:r w:rsidR="00D512AB" w:rsidRPr="00C14698">
                              <w:rPr>
                                <w:sz w:val="20"/>
                                <w:szCs w:val="20"/>
                                <w:lang w:val="en-GB"/>
                              </w:rPr>
                              <w:t>, 23 SNPs per bin were found on a</w:t>
                            </w:r>
                            <w:r w:rsidR="00D512AB">
                              <w:rPr>
                                <w:sz w:val="20"/>
                                <w:szCs w:val="20"/>
                                <w:lang w:val="en-GB"/>
                              </w:rPr>
                              <w:t>verage in the other individuals (Table 2).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8578DB" id="_x0000_s1029" type="#_x0000_t202" style="width:425.2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">
                <v:textbox>
                  <w:txbxContent>
                    <w:p w:rsidR="00D512AB" w:rsidRPr="00C14698" w:rsidRDefault="008E4E5F" w:rsidP="00D512AB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Figure S4</w:t>
                      </w:r>
                      <w:r w:rsidR="00D512AB">
                        <w:rPr>
                          <w:b/>
                          <w:sz w:val="20"/>
                          <w:szCs w:val="20"/>
                          <w:lang w:val="en-GB"/>
                        </w:rPr>
                        <w:t>.</w:t>
                      </w:r>
                      <w:r w:rsidR="00D512AB" w:rsidRPr="00C14698">
                        <w:rPr>
                          <w:sz w:val="20"/>
                          <w:szCs w:val="20"/>
                          <w:lang w:val="en-GB"/>
                        </w:rPr>
                        <w:t xml:space="preserve"> Proportion of bins (10kb) per category of SNPs per bin. On average</w:t>
                      </w:r>
                      <w:r w:rsidR="008520C2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D512AB" w:rsidRPr="00C14698">
                        <w:rPr>
                          <w:sz w:val="20"/>
                          <w:szCs w:val="20"/>
                          <w:lang w:val="en-GB"/>
                        </w:rPr>
                        <w:t xml:space="preserve">12 SNPs per bin were found in </w:t>
                      </w:r>
                      <w:r w:rsidR="00D512AB" w:rsidRPr="00C14698"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Sus </w:t>
                      </w:r>
                      <w:proofErr w:type="spellStart"/>
                      <w:r w:rsidR="00D512AB" w:rsidRPr="00C14698">
                        <w:rPr>
                          <w:i/>
                          <w:sz w:val="20"/>
                          <w:szCs w:val="20"/>
                          <w:lang w:val="en-GB"/>
                        </w:rPr>
                        <w:t>cebifrons</w:t>
                      </w:r>
                      <w:proofErr w:type="spellEnd"/>
                      <w:r w:rsidR="00D512AB" w:rsidRPr="00C14698">
                        <w:rPr>
                          <w:sz w:val="20"/>
                          <w:szCs w:val="20"/>
                          <w:lang w:val="en-GB"/>
                        </w:rPr>
                        <w:t>, 23 SNPs per bin were found on a</w:t>
                      </w:r>
                      <w:r w:rsidR="00D512AB">
                        <w:rPr>
                          <w:sz w:val="20"/>
                          <w:szCs w:val="20"/>
                          <w:lang w:val="en-GB"/>
                        </w:rPr>
                        <w:t>verage in the other individuals (Table 2).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1309" w:rsidRDefault="00161309">
      <w:pPr>
        <w:rPr>
          <w:lang w:val="en-US"/>
        </w:rPr>
      </w:pPr>
    </w:p>
    <w:p w:rsidR="008E4E5F" w:rsidRDefault="008E4E5F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34"/>
        <w:gridCol w:w="1122"/>
        <w:gridCol w:w="1111"/>
        <w:gridCol w:w="1109"/>
        <w:gridCol w:w="1108"/>
        <w:gridCol w:w="2132"/>
      </w:tblGrid>
      <w:tr w:rsidR="00161309" w:rsidRPr="001916B4" w:rsidTr="00BB2A9F">
        <w:trPr>
          <w:trHeight w:val="315"/>
        </w:trPr>
        <w:tc>
          <w:tcPr>
            <w:tcW w:w="9242" w:type="dxa"/>
            <w:gridSpan w:val="6"/>
            <w:noWrap/>
          </w:tcPr>
          <w:p w:rsidR="00161309" w:rsidRPr="00161309" w:rsidRDefault="00161309" w:rsidP="001F50A0">
            <w:pPr>
              <w:spacing w:line="240" w:lineRule="auto"/>
              <w:contextualSpacing/>
              <w:rPr>
                <w:sz w:val="20"/>
                <w:szCs w:val="20"/>
                <w:lang w:val="en-GB"/>
              </w:rPr>
            </w:pPr>
            <w:r w:rsidRPr="00161309">
              <w:rPr>
                <w:b/>
                <w:sz w:val="20"/>
                <w:szCs w:val="20"/>
                <w:lang w:val="en-GB"/>
              </w:rPr>
              <w:lastRenderedPageBreak/>
              <w:t xml:space="preserve">Table S3. </w:t>
            </w:r>
            <w:r w:rsidRPr="00161309">
              <w:rPr>
                <w:sz w:val="20"/>
                <w:szCs w:val="20"/>
                <w:lang w:val="en-GB"/>
              </w:rPr>
              <w:t xml:space="preserve">Assessment of shared and island-specific variation. SNPs in coding regions only. Fixed differences between </w:t>
            </w:r>
            <w:r w:rsidRPr="00161309">
              <w:rPr>
                <w:i/>
                <w:sz w:val="20"/>
                <w:szCs w:val="20"/>
                <w:lang w:val="en-GB"/>
              </w:rPr>
              <w:t xml:space="preserve">Sus cebifrons </w:t>
            </w:r>
            <w:r w:rsidRPr="00161309">
              <w:rPr>
                <w:sz w:val="20"/>
                <w:szCs w:val="20"/>
                <w:lang w:val="en-GB"/>
              </w:rPr>
              <w:t xml:space="preserve">and </w:t>
            </w:r>
            <w:r w:rsidRPr="00161309">
              <w:rPr>
                <w:i/>
                <w:sz w:val="20"/>
                <w:szCs w:val="20"/>
                <w:lang w:val="en-GB"/>
              </w:rPr>
              <w:t xml:space="preserve">Sus scrofa </w:t>
            </w:r>
            <w:r w:rsidRPr="00161309">
              <w:rPr>
                <w:sz w:val="20"/>
                <w:szCs w:val="20"/>
                <w:lang w:val="en-GB"/>
              </w:rPr>
              <w:t>were excluded. The vast majority of the SNPs is shared between islands, and only a very small portion may be specific.</w:t>
            </w:r>
          </w:p>
        </w:tc>
      </w:tr>
      <w:tr w:rsidR="00161309" w:rsidRPr="00161309" w:rsidTr="00161309">
        <w:trPr>
          <w:trHeight w:val="315"/>
        </w:trPr>
        <w:tc>
          <w:tcPr>
            <w:tcW w:w="2499" w:type="dxa"/>
            <w:noWrap/>
            <w:hideMark/>
          </w:tcPr>
          <w:p w:rsidR="00161309" w:rsidRPr="00161309" w:rsidRDefault="00161309" w:rsidP="001F50A0">
            <w:pPr>
              <w:spacing w:line="240" w:lineRule="auto"/>
              <w:contextualSpacing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49" w:type="dxa"/>
            <w:noWrap/>
            <w:hideMark/>
          </w:tcPr>
          <w:p w:rsidR="00161309" w:rsidRPr="00161309" w:rsidRDefault="00161309" w:rsidP="001F50A0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161309">
              <w:rPr>
                <w:b/>
                <w:sz w:val="20"/>
                <w:szCs w:val="20"/>
              </w:rPr>
              <w:t>Shared</w:t>
            </w:r>
          </w:p>
        </w:tc>
        <w:tc>
          <w:tcPr>
            <w:tcW w:w="1137" w:type="dxa"/>
            <w:noWrap/>
            <w:hideMark/>
          </w:tcPr>
          <w:p w:rsidR="00161309" w:rsidRPr="00161309" w:rsidRDefault="00161309" w:rsidP="001F50A0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161309">
              <w:rPr>
                <w:b/>
                <w:sz w:val="20"/>
                <w:szCs w:val="20"/>
              </w:rPr>
              <w:t>Panay</w:t>
            </w:r>
          </w:p>
          <w:p w:rsidR="00161309" w:rsidRPr="00161309" w:rsidRDefault="00161309" w:rsidP="001F50A0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161309">
              <w:rPr>
                <w:b/>
                <w:sz w:val="20"/>
                <w:szCs w:val="20"/>
              </w:rPr>
              <w:t>(N = 5)</w:t>
            </w:r>
          </w:p>
        </w:tc>
        <w:tc>
          <w:tcPr>
            <w:tcW w:w="1135" w:type="dxa"/>
            <w:noWrap/>
            <w:hideMark/>
          </w:tcPr>
          <w:p w:rsidR="00161309" w:rsidRPr="00161309" w:rsidRDefault="00161309" w:rsidP="001F50A0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161309">
              <w:rPr>
                <w:b/>
                <w:sz w:val="20"/>
                <w:szCs w:val="20"/>
              </w:rPr>
              <w:t>Negros</w:t>
            </w:r>
          </w:p>
          <w:p w:rsidR="00161309" w:rsidRPr="00161309" w:rsidRDefault="00161309" w:rsidP="001F50A0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161309">
              <w:rPr>
                <w:b/>
                <w:sz w:val="20"/>
                <w:szCs w:val="20"/>
              </w:rPr>
              <w:t>(N = 2)</w:t>
            </w:r>
          </w:p>
        </w:tc>
        <w:tc>
          <w:tcPr>
            <w:tcW w:w="1134" w:type="dxa"/>
            <w:noWrap/>
            <w:hideMark/>
          </w:tcPr>
          <w:p w:rsidR="00161309" w:rsidRPr="00161309" w:rsidRDefault="00161309" w:rsidP="001F50A0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16130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188" w:type="dxa"/>
            <w:noWrap/>
            <w:hideMark/>
          </w:tcPr>
          <w:p w:rsidR="00161309" w:rsidRPr="00161309" w:rsidRDefault="00161309" w:rsidP="001F50A0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161309">
              <w:rPr>
                <w:b/>
                <w:sz w:val="20"/>
                <w:szCs w:val="20"/>
              </w:rPr>
              <w:t>Fraction island specific variation</w:t>
            </w:r>
          </w:p>
        </w:tc>
      </w:tr>
      <w:tr w:rsidR="00161309" w:rsidRPr="00161309" w:rsidTr="00161309">
        <w:trPr>
          <w:trHeight w:val="315"/>
        </w:trPr>
        <w:tc>
          <w:tcPr>
            <w:tcW w:w="2499" w:type="dxa"/>
            <w:noWrap/>
            <w:hideMark/>
          </w:tcPr>
          <w:p w:rsidR="00161309" w:rsidRPr="00161309" w:rsidRDefault="00161309" w:rsidP="001F50A0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161309">
              <w:rPr>
                <w:b/>
                <w:sz w:val="20"/>
                <w:szCs w:val="20"/>
              </w:rPr>
              <w:t>All</w:t>
            </w:r>
          </w:p>
        </w:tc>
        <w:tc>
          <w:tcPr>
            <w:tcW w:w="1149" w:type="dxa"/>
            <w:noWrap/>
            <w:hideMark/>
          </w:tcPr>
          <w:p w:rsidR="00161309" w:rsidRPr="00161309" w:rsidRDefault="00161309" w:rsidP="001F50A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3969361</w:t>
            </w:r>
          </w:p>
        </w:tc>
        <w:tc>
          <w:tcPr>
            <w:tcW w:w="1137" w:type="dxa"/>
            <w:noWrap/>
            <w:hideMark/>
          </w:tcPr>
          <w:p w:rsidR="00161309" w:rsidRPr="00161309" w:rsidRDefault="00161309" w:rsidP="001F50A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457741</w:t>
            </w:r>
          </w:p>
        </w:tc>
        <w:tc>
          <w:tcPr>
            <w:tcW w:w="1135" w:type="dxa"/>
            <w:noWrap/>
            <w:hideMark/>
          </w:tcPr>
          <w:p w:rsidR="00161309" w:rsidRPr="00161309" w:rsidRDefault="00161309" w:rsidP="001F50A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251910</w:t>
            </w:r>
          </w:p>
        </w:tc>
        <w:tc>
          <w:tcPr>
            <w:tcW w:w="1134" w:type="dxa"/>
            <w:noWrap/>
            <w:hideMark/>
          </w:tcPr>
          <w:p w:rsidR="00161309" w:rsidRPr="00161309" w:rsidRDefault="00161309" w:rsidP="001F50A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4679012</w:t>
            </w:r>
          </w:p>
        </w:tc>
        <w:tc>
          <w:tcPr>
            <w:tcW w:w="2188" w:type="dxa"/>
            <w:noWrap/>
            <w:hideMark/>
          </w:tcPr>
          <w:p w:rsidR="00161309" w:rsidRPr="00161309" w:rsidRDefault="00161309" w:rsidP="001F50A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0.152</w:t>
            </w:r>
          </w:p>
        </w:tc>
      </w:tr>
      <w:tr w:rsidR="00161309" w:rsidRPr="00161309" w:rsidTr="00161309">
        <w:trPr>
          <w:trHeight w:val="315"/>
        </w:trPr>
        <w:tc>
          <w:tcPr>
            <w:tcW w:w="2499" w:type="dxa"/>
            <w:noWrap/>
            <w:hideMark/>
          </w:tcPr>
          <w:p w:rsidR="00161309" w:rsidRPr="00161309" w:rsidRDefault="00161309" w:rsidP="001F50A0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161309">
              <w:rPr>
                <w:b/>
                <w:sz w:val="20"/>
                <w:szCs w:val="20"/>
              </w:rPr>
              <w:t>Synonymous</w:t>
            </w:r>
          </w:p>
        </w:tc>
        <w:tc>
          <w:tcPr>
            <w:tcW w:w="1149" w:type="dxa"/>
            <w:noWrap/>
            <w:hideMark/>
          </w:tcPr>
          <w:p w:rsidR="00161309" w:rsidRPr="00161309" w:rsidRDefault="00161309" w:rsidP="001F50A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19565</w:t>
            </w:r>
          </w:p>
        </w:tc>
        <w:tc>
          <w:tcPr>
            <w:tcW w:w="1137" w:type="dxa"/>
            <w:noWrap/>
            <w:hideMark/>
          </w:tcPr>
          <w:p w:rsidR="00161309" w:rsidRPr="00161309" w:rsidRDefault="00161309" w:rsidP="001F50A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2150</w:t>
            </w:r>
          </w:p>
        </w:tc>
        <w:tc>
          <w:tcPr>
            <w:tcW w:w="1135" w:type="dxa"/>
            <w:noWrap/>
            <w:hideMark/>
          </w:tcPr>
          <w:p w:rsidR="00161309" w:rsidRPr="00161309" w:rsidRDefault="00161309" w:rsidP="001F50A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1190</w:t>
            </w:r>
          </w:p>
        </w:tc>
        <w:tc>
          <w:tcPr>
            <w:tcW w:w="1134" w:type="dxa"/>
            <w:noWrap/>
            <w:hideMark/>
          </w:tcPr>
          <w:p w:rsidR="00161309" w:rsidRPr="00161309" w:rsidRDefault="00161309" w:rsidP="001F50A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22905</w:t>
            </w:r>
          </w:p>
        </w:tc>
        <w:tc>
          <w:tcPr>
            <w:tcW w:w="2188" w:type="dxa"/>
            <w:noWrap/>
            <w:hideMark/>
          </w:tcPr>
          <w:p w:rsidR="00161309" w:rsidRPr="00161309" w:rsidRDefault="00161309" w:rsidP="001F50A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0.146</w:t>
            </w:r>
          </w:p>
        </w:tc>
      </w:tr>
      <w:tr w:rsidR="00161309" w:rsidRPr="00161309" w:rsidTr="00161309">
        <w:trPr>
          <w:trHeight w:val="315"/>
        </w:trPr>
        <w:tc>
          <w:tcPr>
            <w:tcW w:w="2499" w:type="dxa"/>
            <w:noWrap/>
            <w:hideMark/>
          </w:tcPr>
          <w:p w:rsidR="00161309" w:rsidRPr="00161309" w:rsidRDefault="00161309" w:rsidP="003D64DF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161309">
              <w:rPr>
                <w:b/>
                <w:sz w:val="20"/>
                <w:szCs w:val="20"/>
              </w:rPr>
              <w:t>Non-synonymous</w:t>
            </w:r>
            <w:r w:rsidR="003D64DF">
              <w:rPr>
                <w:b/>
                <w:sz w:val="20"/>
                <w:szCs w:val="20"/>
              </w:rPr>
              <w:t xml:space="preserve"> </w:t>
            </w:r>
            <w:r w:rsidRPr="00161309">
              <w:rPr>
                <w:b/>
                <w:sz w:val="20"/>
                <w:szCs w:val="20"/>
              </w:rPr>
              <w:t>tolerated</w:t>
            </w:r>
          </w:p>
        </w:tc>
        <w:tc>
          <w:tcPr>
            <w:tcW w:w="1149" w:type="dxa"/>
            <w:noWrap/>
            <w:hideMark/>
          </w:tcPr>
          <w:p w:rsidR="00161309" w:rsidRPr="00161309" w:rsidRDefault="00161309" w:rsidP="001F50A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10081</w:t>
            </w:r>
          </w:p>
        </w:tc>
        <w:tc>
          <w:tcPr>
            <w:tcW w:w="1137" w:type="dxa"/>
            <w:noWrap/>
            <w:hideMark/>
          </w:tcPr>
          <w:p w:rsidR="00161309" w:rsidRPr="00161309" w:rsidRDefault="00161309" w:rsidP="001F50A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918</w:t>
            </w:r>
          </w:p>
        </w:tc>
        <w:tc>
          <w:tcPr>
            <w:tcW w:w="1135" w:type="dxa"/>
            <w:noWrap/>
            <w:hideMark/>
          </w:tcPr>
          <w:p w:rsidR="00161309" w:rsidRPr="00161309" w:rsidRDefault="00161309" w:rsidP="001F50A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533</w:t>
            </w:r>
          </w:p>
        </w:tc>
        <w:tc>
          <w:tcPr>
            <w:tcW w:w="1134" w:type="dxa"/>
            <w:noWrap/>
            <w:hideMark/>
          </w:tcPr>
          <w:p w:rsidR="00161309" w:rsidRPr="00161309" w:rsidRDefault="00161309" w:rsidP="001F50A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11532</w:t>
            </w:r>
          </w:p>
        </w:tc>
        <w:tc>
          <w:tcPr>
            <w:tcW w:w="2188" w:type="dxa"/>
            <w:noWrap/>
            <w:hideMark/>
          </w:tcPr>
          <w:p w:rsidR="00161309" w:rsidRPr="00161309" w:rsidRDefault="00161309" w:rsidP="001F50A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0.126</w:t>
            </w:r>
          </w:p>
        </w:tc>
      </w:tr>
      <w:tr w:rsidR="00161309" w:rsidRPr="00161309" w:rsidTr="00161309">
        <w:trPr>
          <w:trHeight w:val="315"/>
        </w:trPr>
        <w:tc>
          <w:tcPr>
            <w:tcW w:w="2499" w:type="dxa"/>
            <w:noWrap/>
            <w:hideMark/>
          </w:tcPr>
          <w:p w:rsidR="00161309" w:rsidRPr="00161309" w:rsidRDefault="003D64DF" w:rsidP="001F50A0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Non-synonymous not-tolerated</w:t>
            </w:r>
          </w:p>
        </w:tc>
        <w:tc>
          <w:tcPr>
            <w:tcW w:w="1149" w:type="dxa"/>
            <w:noWrap/>
            <w:hideMark/>
          </w:tcPr>
          <w:p w:rsidR="00161309" w:rsidRPr="00161309" w:rsidRDefault="00161309" w:rsidP="001F50A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3370</w:t>
            </w:r>
          </w:p>
        </w:tc>
        <w:tc>
          <w:tcPr>
            <w:tcW w:w="1137" w:type="dxa"/>
            <w:noWrap/>
            <w:hideMark/>
          </w:tcPr>
          <w:p w:rsidR="00161309" w:rsidRPr="00161309" w:rsidRDefault="00161309" w:rsidP="001F50A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343</w:t>
            </w:r>
          </w:p>
        </w:tc>
        <w:tc>
          <w:tcPr>
            <w:tcW w:w="1135" w:type="dxa"/>
            <w:noWrap/>
            <w:hideMark/>
          </w:tcPr>
          <w:p w:rsidR="00161309" w:rsidRPr="00161309" w:rsidRDefault="00161309" w:rsidP="001F50A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171</w:t>
            </w:r>
          </w:p>
        </w:tc>
        <w:tc>
          <w:tcPr>
            <w:tcW w:w="1134" w:type="dxa"/>
            <w:noWrap/>
            <w:hideMark/>
          </w:tcPr>
          <w:p w:rsidR="00161309" w:rsidRPr="00161309" w:rsidRDefault="00161309" w:rsidP="001F50A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3884</w:t>
            </w:r>
          </w:p>
        </w:tc>
        <w:tc>
          <w:tcPr>
            <w:tcW w:w="2188" w:type="dxa"/>
            <w:noWrap/>
            <w:hideMark/>
          </w:tcPr>
          <w:p w:rsidR="00161309" w:rsidRPr="00161309" w:rsidRDefault="00161309" w:rsidP="001F50A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0.132</w:t>
            </w:r>
          </w:p>
        </w:tc>
      </w:tr>
    </w:tbl>
    <w:p w:rsidR="00D512AB" w:rsidRDefault="00D512AB">
      <w:pPr>
        <w:rPr>
          <w:lang w:val="en-US"/>
        </w:rPr>
      </w:pPr>
    </w:p>
    <w:tbl>
      <w:tblPr>
        <w:tblStyle w:val="Tabelraster"/>
        <w:tblpPr w:leftFromText="180" w:rightFromText="180" w:vertAnchor="page" w:horzAnchor="margin" w:tblpY="4966"/>
        <w:tblW w:w="9889" w:type="dxa"/>
        <w:tblLook w:val="04A0" w:firstRow="1" w:lastRow="0" w:firstColumn="1" w:lastColumn="0" w:noHBand="0" w:noVBand="1"/>
      </w:tblPr>
      <w:tblGrid>
        <w:gridCol w:w="959"/>
        <w:gridCol w:w="926"/>
        <w:gridCol w:w="926"/>
        <w:gridCol w:w="699"/>
        <w:gridCol w:w="723"/>
        <w:gridCol w:w="723"/>
        <w:gridCol w:w="681"/>
        <w:gridCol w:w="708"/>
        <w:gridCol w:w="709"/>
        <w:gridCol w:w="672"/>
        <w:gridCol w:w="622"/>
        <w:gridCol w:w="622"/>
        <w:gridCol w:w="919"/>
      </w:tblGrid>
      <w:tr w:rsidR="008E4E5F" w:rsidRPr="001916B4" w:rsidTr="008E4E5F">
        <w:trPr>
          <w:trHeight w:val="315"/>
        </w:trPr>
        <w:tc>
          <w:tcPr>
            <w:tcW w:w="9889" w:type="dxa"/>
            <w:gridSpan w:val="13"/>
            <w:noWrap/>
          </w:tcPr>
          <w:p w:rsidR="008E4E5F" w:rsidRPr="00D46F40" w:rsidRDefault="008E4E5F" w:rsidP="008E4E5F">
            <w:pPr>
              <w:spacing w:line="240" w:lineRule="auto"/>
              <w:contextualSpacing/>
              <w:rPr>
                <w:sz w:val="20"/>
                <w:szCs w:val="20"/>
                <w:lang w:val="en-GB"/>
              </w:rPr>
            </w:pPr>
            <w:r w:rsidRPr="00D46F40">
              <w:rPr>
                <w:b/>
                <w:sz w:val="20"/>
                <w:szCs w:val="20"/>
                <w:lang w:val="en-GB"/>
              </w:rPr>
              <w:t xml:space="preserve">Tabls S4. </w:t>
            </w:r>
            <w:r>
              <w:rPr>
                <w:sz w:val="20"/>
                <w:szCs w:val="20"/>
                <w:lang w:val="en-GB"/>
              </w:rPr>
              <w:t>Number of variants in homozygous (Hom) or heterozygous (Het) state, per category (All, synonymous, non-synonymous tolerated and non-synonymous not-tolerated). The ratio represents the Het/Hom ratio. This ratio is increased in not-tolerated variants, suggesting some degree of purging has taken place.</w:t>
            </w:r>
          </w:p>
        </w:tc>
      </w:tr>
      <w:tr w:rsidR="008E4E5F" w:rsidRPr="001916B4" w:rsidTr="008E4E5F">
        <w:trPr>
          <w:trHeight w:val="315"/>
        </w:trPr>
        <w:tc>
          <w:tcPr>
            <w:tcW w:w="959" w:type="dxa"/>
            <w:noWrap/>
          </w:tcPr>
          <w:p w:rsidR="008E4E5F" w:rsidRPr="00D46F40" w:rsidRDefault="008E4E5F" w:rsidP="008E4E5F">
            <w:pPr>
              <w:spacing w:line="240" w:lineRule="auto"/>
              <w:contextualSpacing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gridSpan w:val="3"/>
            <w:noWrap/>
          </w:tcPr>
          <w:p w:rsidR="008E4E5F" w:rsidRPr="00D46F40" w:rsidRDefault="008E4E5F" w:rsidP="008E4E5F">
            <w:pPr>
              <w:spacing w:line="240" w:lineRule="auto"/>
              <w:contextualSpacing/>
              <w:rPr>
                <w:b/>
                <w:sz w:val="20"/>
                <w:szCs w:val="20"/>
                <w:lang w:val="en-GB"/>
              </w:rPr>
            </w:pPr>
            <w:r w:rsidRPr="00D46F40">
              <w:rPr>
                <w:b/>
                <w:sz w:val="20"/>
                <w:szCs w:val="20"/>
                <w:lang w:val="en-GB"/>
              </w:rPr>
              <w:t>All_variants</w:t>
            </w:r>
          </w:p>
        </w:tc>
        <w:tc>
          <w:tcPr>
            <w:tcW w:w="2127" w:type="dxa"/>
            <w:gridSpan w:val="3"/>
            <w:noWrap/>
          </w:tcPr>
          <w:p w:rsidR="008E4E5F" w:rsidRPr="00D46F40" w:rsidRDefault="008E4E5F" w:rsidP="008E4E5F">
            <w:pPr>
              <w:spacing w:line="240" w:lineRule="auto"/>
              <w:contextualSpacing/>
              <w:rPr>
                <w:b/>
                <w:sz w:val="20"/>
                <w:szCs w:val="20"/>
                <w:lang w:val="en-GB"/>
              </w:rPr>
            </w:pPr>
            <w:r w:rsidRPr="00D46F40">
              <w:rPr>
                <w:b/>
                <w:sz w:val="20"/>
                <w:szCs w:val="20"/>
                <w:lang w:val="en-GB"/>
              </w:rPr>
              <w:t>Synonymous_variants</w:t>
            </w:r>
          </w:p>
        </w:tc>
        <w:tc>
          <w:tcPr>
            <w:tcW w:w="2089" w:type="dxa"/>
            <w:gridSpan w:val="3"/>
            <w:noWrap/>
          </w:tcPr>
          <w:p w:rsidR="008E4E5F" w:rsidRPr="00D46F40" w:rsidRDefault="008E4E5F" w:rsidP="008E4E5F">
            <w:pPr>
              <w:spacing w:line="240" w:lineRule="auto"/>
              <w:contextualSpacing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Non-synonymous </w:t>
            </w:r>
            <w:r w:rsidRPr="00D46F40">
              <w:rPr>
                <w:b/>
                <w:sz w:val="20"/>
                <w:szCs w:val="20"/>
                <w:lang w:val="en-GB"/>
              </w:rPr>
              <w:t>Tolerated_variants</w:t>
            </w:r>
          </w:p>
        </w:tc>
        <w:tc>
          <w:tcPr>
            <w:tcW w:w="2163" w:type="dxa"/>
            <w:gridSpan w:val="3"/>
            <w:noWrap/>
          </w:tcPr>
          <w:p w:rsidR="008E4E5F" w:rsidRPr="00D46F40" w:rsidRDefault="008E4E5F" w:rsidP="008E4E5F">
            <w:pPr>
              <w:spacing w:line="240" w:lineRule="auto"/>
              <w:contextualSpacing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Non-synonymous </w:t>
            </w:r>
            <w:r w:rsidRPr="00D46F40">
              <w:rPr>
                <w:b/>
                <w:sz w:val="20"/>
                <w:szCs w:val="20"/>
                <w:lang w:val="en-GB"/>
              </w:rPr>
              <w:t>Not-tolerated_variants</w:t>
            </w:r>
          </w:p>
        </w:tc>
      </w:tr>
      <w:tr w:rsidR="008E4E5F" w:rsidRPr="00D46F40" w:rsidTr="008E4E5F">
        <w:trPr>
          <w:trHeight w:val="315"/>
        </w:trPr>
        <w:tc>
          <w:tcPr>
            <w:tcW w:w="959" w:type="dxa"/>
            <w:noWrap/>
            <w:hideMark/>
          </w:tcPr>
          <w:p w:rsidR="008E4E5F" w:rsidRPr="00D46F40" w:rsidRDefault="008E4E5F" w:rsidP="008E4E5F">
            <w:pPr>
              <w:spacing w:line="240" w:lineRule="auto"/>
              <w:contextualSpacing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26" w:type="dxa"/>
            <w:noWrap/>
            <w:hideMark/>
          </w:tcPr>
          <w:p w:rsidR="008E4E5F" w:rsidRPr="00D46F40" w:rsidRDefault="008E4E5F" w:rsidP="008E4E5F">
            <w:pPr>
              <w:spacing w:line="240" w:lineRule="auto"/>
              <w:contextualSpacing/>
              <w:rPr>
                <w:b/>
                <w:sz w:val="20"/>
                <w:szCs w:val="20"/>
                <w:lang w:val="en-GB"/>
              </w:rPr>
            </w:pPr>
            <w:r w:rsidRPr="00D46F40">
              <w:rPr>
                <w:b/>
                <w:sz w:val="20"/>
                <w:szCs w:val="20"/>
                <w:lang w:val="en-GB"/>
              </w:rPr>
              <w:t>Hom</w:t>
            </w:r>
          </w:p>
        </w:tc>
        <w:tc>
          <w:tcPr>
            <w:tcW w:w="926" w:type="dxa"/>
            <w:noWrap/>
            <w:hideMark/>
          </w:tcPr>
          <w:p w:rsidR="008E4E5F" w:rsidRPr="00D46F40" w:rsidRDefault="008E4E5F" w:rsidP="008E4E5F">
            <w:pPr>
              <w:spacing w:line="240" w:lineRule="auto"/>
              <w:contextualSpacing/>
              <w:rPr>
                <w:b/>
                <w:sz w:val="20"/>
                <w:szCs w:val="20"/>
                <w:lang w:val="en-GB"/>
              </w:rPr>
            </w:pPr>
            <w:r w:rsidRPr="00D46F40">
              <w:rPr>
                <w:b/>
                <w:sz w:val="20"/>
                <w:szCs w:val="20"/>
                <w:lang w:val="en-GB"/>
              </w:rPr>
              <w:t>Het</w:t>
            </w:r>
          </w:p>
        </w:tc>
        <w:tc>
          <w:tcPr>
            <w:tcW w:w="699" w:type="dxa"/>
            <w:noWrap/>
            <w:hideMark/>
          </w:tcPr>
          <w:p w:rsidR="008E4E5F" w:rsidRPr="00D46F40" w:rsidRDefault="008E4E5F" w:rsidP="008E4E5F">
            <w:pPr>
              <w:spacing w:line="240" w:lineRule="auto"/>
              <w:contextualSpacing/>
              <w:rPr>
                <w:b/>
                <w:sz w:val="20"/>
                <w:szCs w:val="20"/>
                <w:lang w:val="en-GB"/>
              </w:rPr>
            </w:pPr>
            <w:r w:rsidRPr="00D46F40">
              <w:rPr>
                <w:b/>
                <w:sz w:val="20"/>
                <w:szCs w:val="20"/>
                <w:lang w:val="en-GB"/>
              </w:rPr>
              <w:t>Ratio</w:t>
            </w:r>
          </w:p>
        </w:tc>
        <w:tc>
          <w:tcPr>
            <w:tcW w:w="723" w:type="dxa"/>
            <w:noWrap/>
            <w:hideMark/>
          </w:tcPr>
          <w:p w:rsidR="008E4E5F" w:rsidRPr="00D46F40" w:rsidRDefault="008E4E5F" w:rsidP="008E4E5F">
            <w:pPr>
              <w:spacing w:line="240" w:lineRule="auto"/>
              <w:contextualSpacing/>
              <w:rPr>
                <w:b/>
                <w:sz w:val="20"/>
                <w:szCs w:val="20"/>
                <w:lang w:val="en-GB"/>
              </w:rPr>
            </w:pPr>
            <w:r w:rsidRPr="00D46F40">
              <w:rPr>
                <w:b/>
                <w:sz w:val="20"/>
                <w:szCs w:val="20"/>
                <w:lang w:val="en-GB"/>
              </w:rPr>
              <w:t>Hom</w:t>
            </w:r>
          </w:p>
        </w:tc>
        <w:tc>
          <w:tcPr>
            <w:tcW w:w="723" w:type="dxa"/>
            <w:noWrap/>
            <w:hideMark/>
          </w:tcPr>
          <w:p w:rsidR="008E4E5F" w:rsidRPr="00D46F40" w:rsidRDefault="008E4E5F" w:rsidP="008E4E5F">
            <w:pPr>
              <w:spacing w:line="240" w:lineRule="auto"/>
              <w:contextualSpacing/>
              <w:rPr>
                <w:b/>
                <w:sz w:val="20"/>
                <w:szCs w:val="20"/>
                <w:lang w:val="en-GB"/>
              </w:rPr>
            </w:pPr>
            <w:r w:rsidRPr="00D46F40">
              <w:rPr>
                <w:b/>
                <w:sz w:val="20"/>
                <w:szCs w:val="20"/>
                <w:lang w:val="en-GB"/>
              </w:rPr>
              <w:t>Het</w:t>
            </w:r>
          </w:p>
        </w:tc>
        <w:tc>
          <w:tcPr>
            <w:tcW w:w="681" w:type="dxa"/>
            <w:noWrap/>
            <w:hideMark/>
          </w:tcPr>
          <w:p w:rsidR="008E4E5F" w:rsidRPr="00D46F40" w:rsidRDefault="008E4E5F" w:rsidP="008E4E5F">
            <w:pPr>
              <w:spacing w:line="240" w:lineRule="auto"/>
              <w:contextualSpacing/>
              <w:rPr>
                <w:b/>
                <w:sz w:val="20"/>
                <w:szCs w:val="20"/>
                <w:lang w:val="en-GB"/>
              </w:rPr>
            </w:pPr>
            <w:r w:rsidRPr="00D46F40">
              <w:rPr>
                <w:b/>
                <w:sz w:val="20"/>
                <w:szCs w:val="20"/>
                <w:lang w:val="en-GB"/>
              </w:rPr>
              <w:t>Ratio</w:t>
            </w:r>
          </w:p>
        </w:tc>
        <w:tc>
          <w:tcPr>
            <w:tcW w:w="708" w:type="dxa"/>
            <w:noWrap/>
            <w:hideMark/>
          </w:tcPr>
          <w:p w:rsidR="008E4E5F" w:rsidRPr="00D46F40" w:rsidRDefault="008E4E5F" w:rsidP="008E4E5F">
            <w:pPr>
              <w:spacing w:line="240" w:lineRule="auto"/>
              <w:contextualSpacing/>
              <w:rPr>
                <w:b/>
                <w:sz w:val="20"/>
                <w:szCs w:val="20"/>
                <w:lang w:val="en-GB"/>
              </w:rPr>
            </w:pPr>
            <w:r w:rsidRPr="00D46F40">
              <w:rPr>
                <w:b/>
                <w:sz w:val="20"/>
                <w:szCs w:val="20"/>
                <w:lang w:val="en-GB"/>
              </w:rPr>
              <w:t>Hom</w:t>
            </w:r>
          </w:p>
        </w:tc>
        <w:tc>
          <w:tcPr>
            <w:tcW w:w="709" w:type="dxa"/>
            <w:noWrap/>
            <w:hideMark/>
          </w:tcPr>
          <w:p w:rsidR="008E4E5F" w:rsidRPr="00D46F40" w:rsidRDefault="008E4E5F" w:rsidP="008E4E5F">
            <w:pPr>
              <w:spacing w:line="240" w:lineRule="auto"/>
              <w:contextualSpacing/>
              <w:rPr>
                <w:b/>
                <w:sz w:val="20"/>
                <w:szCs w:val="20"/>
                <w:lang w:val="en-GB"/>
              </w:rPr>
            </w:pPr>
            <w:r w:rsidRPr="00D46F40">
              <w:rPr>
                <w:b/>
                <w:sz w:val="20"/>
                <w:szCs w:val="20"/>
                <w:lang w:val="en-GB"/>
              </w:rPr>
              <w:t>Het</w:t>
            </w:r>
          </w:p>
        </w:tc>
        <w:tc>
          <w:tcPr>
            <w:tcW w:w="672" w:type="dxa"/>
            <w:noWrap/>
            <w:hideMark/>
          </w:tcPr>
          <w:p w:rsidR="008E4E5F" w:rsidRPr="00D46F40" w:rsidRDefault="008E4E5F" w:rsidP="008E4E5F">
            <w:pPr>
              <w:spacing w:line="240" w:lineRule="auto"/>
              <w:contextualSpacing/>
              <w:rPr>
                <w:b/>
                <w:sz w:val="20"/>
                <w:szCs w:val="20"/>
                <w:lang w:val="en-GB"/>
              </w:rPr>
            </w:pPr>
            <w:r w:rsidRPr="00D46F40">
              <w:rPr>
                <w:b/>
                <w:sz w:val="20"/>
                <w:szCs w:val="20"/>
                <w:lang w:val="en-GB"/>
              </w:rPr>
              <w:t>Ratio</w:t>
            </w:r>
          </w:p>
        </w:tc>
        <w:tc>
          <w:tcPr>
            <w:tcW w:w="622" w:type="dxa"/>
            <w:noWrap/>
            <w:hideMark/>
          </w:tcPr>
          <w:p w:rsidR="008E4E5F" w:rsidRPr="00D46F40" w:rsidRDefault="008E4E5F" w:rsidP="008E4E5F">
            <w:pPr>
              <w:spacing w:line="240" w:lineRule="auto"/>
              <w:contextualSpacing/>
              <w:rPr>
                <w:b/>
                <w:sz w:val="20"/>
                <w:szCs w:val="20"/>
                <w:lang w:val="en-GB"/>
              </w:rPr>
            </w:pPr>
            <w:r w:rsidRPr="00D46F40">
              <w:rPr>
                <w:b/>
                <w:sz w:val="20"/>
                <w:szCs w:val="20"/>
                <w:lang w:val="en-GB"/>
              </w:rPr>
              <w:t>Hom</w:t>
            </w:r>
          </w:p>
        </w:tc>
        <w:tc>
          <w:tcPr>
            <w:tcW w:w="622" w:type="dxa"/>
            <w:noWrap/>
            <w:hideMark/>
          </w:tcPr>
          <w:p w:rsidR="008E4E5F" w:rsidRPr="00D46F40" w:rsidRDefault="008E4E5F" w:rsidP="008E4E5F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46F40">
              <w:rPr>
                <w:b/>
                <w:sz w:val="20"/>
                <w:szCs w:val="20"/>
                <w:lang w:val="en-GB"/>
              </w:rPr>
              <w:t>H</w:t>
            </w:r>
            <w:r w:rsidRPr="00D46F40">
              <w:rPr>
                <w:b/>
                <w:sz w:val="20"/>
                <w:szCs w:val="20"/>
              </w:rPr>
              <w:t>et</w:t>
            </w:r>
          </w:p>
        </w:tc>
        <w:tc>
          <w:tcPr>
            <w:tcW w:w="919" w:type="dxa"/>
            <w:noWrap/>
            <w:hideMark/>
          </w:tcPr>
          <w:p w:rsidR="008E4E5F" w:rsidRPr="00D46F40" w:rsidRDefault="008E4E5F" w:rsidP="008E4E5F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46F40">
              <w:rPr>
                <w:b/>
                <w:sz w:val="20"/>
                <w:szCs w:val="20"/>
              </w:rPr>
              <w:t>Ratio</w:t>
            </w:r>
          </w:p>
        </w:tc>
      </w:tr>
      <w:tr w:rsidR="008E4E5F" w:rsidRPr="00161309" w:rsidTr="008E4E5F">
        <w:trPr>
          <w:trHeight w:val="315"/>
        </w:trPr>
        <w:tc>
          <w:tcPr>
            <w:tcW w:w="959" w:type="dxa"/>
            <w:noWrap/>
            <w:hideMark/>
          </w:tcPr>
          <w:p w:rsidR="008E4E5F" w:rsidRPr="00D46F40" w:rsidRDefault="008E4E5F" w:rsidP="008E4E5F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46F40">
              <w:rPr>
                <w:b/>
                <w:sz w:val="20"/>
                <w:szCs w:val="20"/>
              </w:rPr>
              <w:t>02M01</w:t>
            </w:r>
          </w:p>
        </w:tc>
        <w:tc>
          <w:tcPr>
            <w:tcW w:w="926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3067603</w:t>
            </w:r>
          </w:p>
        </w:tc>
        <w:tc>
          <w:tcPr>
            <w:tcW w:w="926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1611409</w:t>
            </w:r>
          </w:p>
        </w:tc>
        <w:tc>
          <w:tcPr>
            <w:tcW w:w="699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0.525</w:t>
            </w:r>
          </w:p>
        </w:tc>
        <w:tc>
          <w:tcPr>
            <w:tcW w:w="723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14157</w:t>
            </w:r>
          </w:p>
        </w:tc>
        <w:tc>
          <w:tcPr>
            <w:tcW w:w="723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8748</w:t>
            </w:r>
          </w:p>
        </w:tc>
        <w:tc>
          <w:tcPr>
            <w:tcW w:w="681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0.618</w:t>
            </w:r>
          </w:p>
        </w:tc>
        <w:tc>
          <w:tcPr>
            <w:tcW w:w="708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6808</w:t>
            </w:r>
          </w:p>
        </w:tc>
        <w:tc>
          <w:tcPr>
            <w:tcW w:w="709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4724</w:t>
            </w:r>
          </w:p>
        </w:tc>
        <w:tc>
          <w:tcPr>
            <w:tcW w:w="672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0.694</w:t>
            </w:r>
          </w:p>
        </w:tc>
        <w:tc>
          <w:tcPr>
            <w:tcW w:w="622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2258</w:t>
            </w:r>
          </w:p>
        </w:tc>
        <w:tc>
          <w:tcPr>
            <w:tcW w:w="622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1626</w:t>
            </w:r>
          </w:p>
        </w:tc>
        <w:tc>
          <w:tcPr>
            <w:tcW w:w="919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0.720</w:t>
            </w:r>
          </w:p>
        </w:tc>
      </w:tr>
      <w:tr w:rsidR="008E4E5F" w:rsidRPr="00161309" w:rsidTr="008E4E5F">
        <w:trPr>
          <w:trHeight w:val="315"/>
        </w:trPr>
        <w:tc>
          <w:tcPr>
            <w:tcW w:w="959" w:type="dxa"/>
            <w:noWrap/>
            <w:hideMark/>
          </w:tcPr>
          <w:p w:rsidR="008E4E5F" w:rsidRPr="00D46F40" w:rsidRDefault="008E4E5F" w:rsidP="008E4E5F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46F40">
              <w:rPr>
                <w:b/>
                <w:sz w:val="20"/>
                <w:szCs w:val="20"/>
              </w:rPr>
              <w:t>02M02</w:t>
            </w:r>
          </w:p>
        </w:tc>
        <w:tc>
          <w:tcPr>
            <w:tcW w:w="926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3141793</w:t>
            </w:r>
          </w:p>
        </w:tc>
        <w:tc>
          <w:tcPr>
            <w:tcW w:w="926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1537219</w:t>
            </w:r>
          </w:p>
        </w:tc>
        <w:tc>
          <w:tcPr>
            <w:tcW w:w="699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0.489</w:t>
            </w:r>
          </w:p>
        </w:tc>
        <w:tc>
          <w:tcPr>
            <w:tcW w:w="723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14492</w:t>
            </w:r>
          </w:p>
        </w:tc>
        <w:tc>
          <w:tcPr>
            <w:tcW w:w="723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8413</w:t>
            </w:r>
          </w:p>
        </w:tc>
        <w:tc>
          <w:tcPr>
            <w:tcW w:w="681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0.581</w:t>
            </w:r>
          </w:p>
        </w:tc>
        <w:tc>
          <w:tcPr>
            <w:tcW w:w="708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6926</w:t>
            </w:r>
          </w:p>
        </w:tc>
        <w:tc>
          <w:tcPr>
            <w:tcW w:w="709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4606</w:t>
            </w:r>
          </w:p>
        </w:tc>
        <w:tc>
          <w:tcPr>
            <w:tcW w:w="672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0.665</w:t>
            </w:r>
          </w:p>
        </w:tc>
        <w:tc>
          <w:tcPr>
            <w:tcW w:w="622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2277</w:t>
            </w:r>
          </w:p>
        </w:tc>
        <w:tc>
          <w:tcPr>
            <w:tcW w:w="622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1607</w:t>
            </w:r>
          </w:p>
        </w:tc>
        <w:tc>
          <w:tcPr>
            <w:tcW w:w="919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0.706</w:t>
            </w:r>
          </w:p>
        </w:tc>
      </w:tr>
      <w:tr w:rsidR="008E4E5F" w:rsidRPr="00161309" w:rsidTr="008E4E5F">
        <w:trPr>
          <w:trHeight w:val="315"/>
        </w:trPr>
        <w:tc>
          <w:tcPr>
            <w:tcW w:w="959" w:type="dxa"/>
            <w:noWrap/>
            <w:hideMark/>
          </w:tcPr>
          <w:p w:rsidR="008E4E5F" w:rsidRPr="00D46F40" w:rsidRDefault="008E4E5F" w:rsidP="008E4E5F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46F40">
              <w:rPr>
                <w:b/>
                <w:sz w:val="20"/>
                <w:szCs w:val="20"/>
              </w:rPr>
              <w:t>01F01</w:t>
            </w:r>
          </w:p>
        </w:tc>
        <w:tc>
          <w:tcPr>
            <w:tcW w:w="926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2847575</w:t>
            </w:r>
          </w:p>
        </w:tc>
        <w:tc>
          <w:tcPr>
            <w:tcW w:w="926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1831437</w:t>
            </w:r>
          </w:p>
        </w:tc>
        <w:tc>
          <w:tcPr>
            <w:tcW w:w="699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0.643</w:t>
            </w:r>
          </w:p>
        </w:tc>
        <w:tc>
          <w:tcPr>
            <w:tcW w:w="723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13350</w:t>
            </w:r>
          </w:p>
        </w:tc>
        <w:tc>
          <w:tcPr>
            <w:tcW w:w="723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9555</w:t>
            </w:r>
          </w:p>
        </w:tc>
        <w:tc>
          <w:tcPr>
            <w:tcW w:w="681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0.716</w:t>
            </w:r>
          </w:p>
        </w:tc>
        <w:tc>
          <w:tcPr>
            <w:tcW w:w="708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6425</w:t>
            </w:r>
          </w:p>
        </w:tc>
        <w:tc>
          <w:tcPr>
            <w:tcW w:w="709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5107</w:t>
            </w:r>
          </w:p>
        </w:tc>
        <w:tc>
          <w:tcPr>
            <w:tcW w:w="672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0.795</w:t>
            </w:r>
          </w:p>
        </w:tc>
        <w:tc>
          <w:tcPr>
            <w:tcW w:w="622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2076</w:t>
            </w:r>
          </w:p>
        </w:tc>
        <w:tc>
          <w:tcPr>
            <w:tcW w:w="622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1808</w:t>
            </w:r>
          </w:p>
        </w:tc>
        <w:tc>
          <w:tcPr>
            <w:tcW w:w="919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0.871</w:t>
            </w:r>
          </w:p>
        </w:tc>
      </w:tr>
      <w:tr w:rsidR="008E4E5F" w:rsidRPr="00161309" w:rsidTr="008E4E5F">
        <w:trPr>
          <w:trHeight w:val="315"/>
        </w:trPr>
        <w:tc>
          <w:tcPr>
            <w:tcW w:w="959" w:type="dxa"/>
            <w:noWrap/>
            <w:hideMark/>
          </w:tcPr>
          <w:p w:rsidR="008E4E5F" w:rsidRPr="00D46F40" w:rsidRDefault="008E4E5F" w:rsidP="008E4E5F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46F40">
              <w:rPr>
                <w:b/>
                <w:sz w:val="20"/>
                <w:szCs w:val="20"/>
              </w:rPr>
              <w:t>Kb14130</w:t>
            </w:r>
          </w:p>
        </w:tc>
        <w:tc>
          <w:tcPr>
            <w:tcW w:w="926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2836079</w:t>
            </w:r>
          </w:p>
        </w:tc>
        <w:tc>
          <w:tcPr>
            <w:tcW w:w="926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1842933</w:t>
            </w:r>
          </w:p>
        </w:tc>
        <w:tc>
          <w:tcPr>
            <w:tcW w:w="699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0.650</w:t>
            </w:r>
          </w:p>
        </w:tc>
        <w:tc>
          <w:tcPr>
            <w:tcW w:w="723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13403</w:t>
            </w:r>
          </w:p>
        </w:tc>
        <w:tc>
          <w:tcPr>
            <w:tcW w:w="723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9502</w:t>
            </w:r>
          </w:p>
        </w:tc>
        <w:tc>
          <w:tcPr>
            <w:tcW w:w="681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0.709</w:t>
            </w:r>
          </w:p>
        </w:tc>
        <w:tc>
          <w:tcPr>
            <w:tcW w:w="708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6357</w:t>
            </w:r>
          </w:p>
        </w:tc>
        <w:tc>
          <w:tcPr>
            <w:tcW w:w="709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5175</w:t>
            </w:r>
          </w:p>
        </w:tc>
        <w:tc>
          <w:tcPr>
            <w:tcW w:w="672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0.814</w:t>
            </w:r>
          </w:p>
        </w:tc>
        <w:tc>
          <w:tcPr>
            <w:tcW w:w="622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2057</w:t>
            </w:r>
          </w:p>
        </w:tc>
        <w:tc>
          <w:tcPr>
            <w:tcW w:w="622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1827</w:t>
            </w:r>
          </w:p>
        </w:tc>
        <w:tc>
          <w:tcPr>
            <w:tcW w:w="919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0.888</w:t>
            </w:r>
          </w:p>
        </w:tc>
      </w:tr>
      <w:tr w:rsidR="008E4E5F" w:rsidRPr="00161309" w:rsidTr="008E4E5F">
        <w:trPr>
          <w:trHeight w:val="315"/>
        </w:trPr>
        <w:tc>
          <w:tcPr>
            <w:tcW w:w="959" w:type="dxa"/>
            <w:noWrap/>
            <w:hideMark/>
          </w:tcPr>
          <w:p w:rsidR="008E4E5F" w:rsidRPr="00D46F40" w:rsidRDefault="008E4E5F" w:rsidP="008E4E5F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46F40">
              <w:rPr>
                <w:b/>
                <w:sz w:val="20"/>
                <w:szCs w:val="20"/>
              </w:rPr>
              <w:t>Kb16508</w:t>
            </w:r>
          </w:p>
        </w:tc>
        <w:tc>
          <w:tcPr>
            <w:tcW w:w="926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2633978</w:t>
            </w:r>
          </w:p>
        </w:tc>
        <w:tc>
          <w:tcPr>
            <w:tcW w:w="926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2045034</w:t>
            </w:r>
          </w:p>
        </w:tc>
        <w:tc>
          <w:tcPr>
            <w:tcW w:w="699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0.776</w:t>
            </w:r>
          </w:p>
        </w:tc>
        <w:tc>
          <w:tcPr>
            <w:tcW w:w="723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12265</w:t>
            </w:r>
          </w:p>
        </w:tc>
        <w:tc>
          <w:tcPr>
            <w:tcW w:w="723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10640</w:t>
            </w:r>
          </w:p>
        </w:tc>
        <w:tc>
          <w:tcPr>
            <w:tcW w:w="681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0.868</w:t>
            </w:r>
          </w:p>
        </w:tc>
        <w:tc>
          <w:tcPr>
            <w:tcW w:w="708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5849</w:t>
            </w:r>
          </w:p>
        </w:tc>
        <w:tc>
          <w:tcPr>
            <w:tcW w:w="709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5683</w:t>
            </w:r>
          </w:p>
        </w:tc>
        <w:tc>
          <w:tcPr>
            <w:tcW w:w="672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0.972</w:t>
            </w:r>
          </w:p>
        </w:tc>
        <w:tc>
          <w:tcPr>
            <w:tcW w:w="622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1911</w:t>
            </w:r>
          </w:p>
        </w:tc>
        <w:tc>
          <w:tcPr>
            <w:tcW w:w="622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1973</w:t>
            </w:r>
          </w:p>
        </w:tc>
        <w:tc>
          <w:tcPr>
            <w:tcW w:w="919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1.032</w:t>
            </w:r>
          </w:p>
        </w:tc>
      </w:tr>
      <w:tr w:rsidR="008E4E5F" w:rsidRPr="00161309" w:rsidTr="008E4E5F">
        <w:trPr>
          <w:trHeight w:val="315"/>
        </w:trPr>
        <w:tc>
          <w:tcPr>
            <w:tcW w:w="959" w:type="dxa"/>
            <w:noWrap/>
            <w:hideMark/>
          </w:tcPr>
          <w:p w:rsidR="008E4E5F" w:rsidRPr="00D46F40" w:rsidRDefault="008E4E5F" w:rsidP="008E4E5F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46F40">
              <w:rPr>
                <w:b/>
                <w:sz w:val="20"/>
                <w:szCs w:val="20"/>
              </w:rPr>
              <w:t>Kb16637</w:t>
            </w:r>
          </w:p>
        </w:tc>
        <w:tc>
          <w:tcPr>
            <w:tcW w:w="926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2635637</w:t>
            </w:r>
          </w:p>
        </w:tc>
        <w:tc>
          <w:tcPr>
            <w:tcW w:w="926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2043375</w:t>
            </w:r>
          </w:p>
        </w:tc>
        <w:tc>
          <w:tcPr>
            <w:tcW w:w="699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0.775</w:t>
            </w:r>
          </w:p>
        </w:tc>
        <w:tc>
          <w:tcPr>
            <w:tcW w:w="723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12440</w:t>
            </w:r>
          </w:p>
        </w:tc>
        <w:tc>
          <w:tcPr>
            <w:tcW w:w="723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10465</w:t>
            </w:r>
          </w:p>
        </w:tc>
        <w:tc>
          <w:tcPr>
            <w:tcW w:w="681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0.841</w:t>
            </w:r>
          </w:p>
        </w:tc>
        <w:tc>
          <w:tcPr>
            <w:tcW w:w="708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5893</w:t>
            </w:r>
          </w:p>
        </w:tc>
        <w:tc>
          <w:tcPr>
            <w:tcW w:w="709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5639</w:t>
            </w:r>
          </w:p>
        </w:tc>
        <w:tc>
          <w:tcPr>
            <w:tcW w:w="672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0.957</w:t>
            </w:r>
          </w:p>
        </w:tc>
        <w:tc>
          <w:tcPr>
            <w:tcW w:w="622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1923</w:t>
            </w:r>
          </w:p>
        </w:tc>
        <w:tc>
          <w:tcPr>
            <w:tcW w:w="622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1961</w:t>
            </w:r>
          </w:p>
        </w:tc>
        <w:tc>
          <w:tcPr>
            <w:tcW w:w="919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1.020</w:t>
            </w:r>
          </w:p>
        </w:tc>
      </w:tr>
      <w:tr w:rsidR="008E4E5F" w:rsidRPr="00161309" w:rsidTr="008E4E5F">
        <w:trPr>
          <w:trHeight w:val="315"/>
        </w:trPr>
        <w:tc>
          <w:tcPr>
            <w:tcW w:w="959" w:type="dxa"/>
            <w:noWrap/>
            <w:hideMark/>
          </w:tcPr>
          <w:p w:rsidR="008E4E5F" w:rsidRPr="00D46F40" w:rsidRDefault="008E4E5F" w:rsidP="008E4E5F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D46F40">
              <w:rPr>
                <w:b/>
                <w:sz w:val="20"/>
                <w:szCs w:val="20"/>
              </w:rPr>
              <w:t>Kb17528</w:t>
            </w:r>
          </w:p>
        </w:tc>
        <w:tc>
          <w:tcPr>
            <w:tcW w:w="926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2829669</w:t>
            </w:r>
          </w:p>
        </w:tc>
        <w:tc>
          <w:tcPr>
            <w:tcW w:w="926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1849343</w:t>
            </w:r>
          </w:p>
        </w:tc>
        <w:tc>
          <w:tcPr>
            <w:tcW w:w="699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0.654</w:t>
            </w:r>
          </w:p>
        </w:tc>
        <w:tc>
          <w:tcPr>
            <w:tcW w:w="723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13239</w:t>
            </w:r>
          </w:p>
        </w:tc>
        <w:tc>
          <w:tcPr>
            <w:tcW w:w="723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9666</w:t>
            </w:r>
          </w:p>
        </w:tc>
        <w:tc>
          <w:tcPr>
            <w:tcW w:w="681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0.730</w:t>
            </w:r>
          </w:p>
        </w:tc>
        <w:tc>
          <w:tcPr>
            <w:tcW w:w="708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6227</w:t>
            </w:r>
          </w:p>
        </w:tc>
        <w:tc>
          <w:tcPr>
            <w:tcW w:w="709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5305</w:t>
            </w:r>
          </w:p>
        </w:tc>
        <w:tc>
          <w:tcPr>
            <w:tcW w:w="672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0.852</w:t>
            </w:r>
          </w:p>
        </w:tc>
        <w:tc>
          <w:tcPr>
            <w:tcW w:w="622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1986</w:t>
            </w:r>
          </w:p>
        </w:tc>
        <w:tc>
          <w:tcPr>
            <w:tcW w:w="622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61309">
              <w:rPr>
                <w:sz w:val="20"/>
                <w:szCs w:val="20"/>
              </w:rPr>
              <w:t>1898</w:t>
            </w:r>
          </w:p>
        </w:tc>
        <w:tc>
          <w:tcPr>
            <w:tcW w:w="919" w:type="dxa"/>
            <w:noWrap/>
            <w:hideMark/>
          </w:tcPr>
          <w:p w:rsidR="008E4E5F" w:rsidRPr="00161309" w:rsidRDefault="008E4E5F" w:rsidP="008E4E5F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0.956</w:t>
            </w:r>
          </w:p>
        </w:tc>
      </w:tr>
    </w:tbl>
    <w:p w:rsidR="00161309" w:rsidRDefault="00161309" w:rsidP="008E4E5F">
      <w:pPr>
        <w:rPr>
          <w:lang w:val="en-US"/>
        </w:rPr>
      </w:pPr>
    </w:p>
    <w:sectPr w:rsidR="0016130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251" w:rsidRDefault="005F5251" w:rsidP="001F50A0">
      <w:pPr>
        <w:spacing w:after="0" w:line="240" w:lineRule="auto"/>
      </w:pPr>
      <w:r>
        <w:separator/>
      </w:r>
    </w:p>
  </w:endnote>
  <w:endnote w:type="continuationSeparator" w:id="0">
    <w:p w:rsidR="005F5251" w:rsidRDefault="005F5251" w:rsidP="001F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251" w:rsidRDefault="005F5251" w:rsidP="001F50A0">
      <w:pPr>
        <w:spacing w:after="0" w:line="240" w:lineRule="auto"/>
      </w:pPr>
      <w:r>
        <w:separator/>
      </w:r>
    </w:p>
  </w:footnote>
  <w:footnote w:type="continuationSeparator" w:id="0">
    <w:p w:rsidR="005F5251" w:rsidRDefault="005F5251" w:rsidP="001F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A0" w:rsidRPr="001F50A0" w:rsidRDefault="001F50A0" w:rsidP="001F50A0">
    <w:pPr>
      <w:pStyle w:val="Koptekst"/>
    </w:pPr>
    <w:r>
      <w:t xml:space="preserve">MS </w:t>
    </w:r>
    <w:r>
      <w:rPr>
        <w:i/>
      </w:rPr>
      <w:t>Sus cebifrons</w:t>
    </w:r>
    <w:r w:rsidR="001916B4">
      <w:t xml:space="preserve"> Nuijten et al. </w:t>
    </w:r>
    <w:r w:rsidR="001916B4">
      <w:tab/>
    </w:r>
    <w:r w:rsidR="001916B4">
      <w:tab/>
      <w:t>05</w:t>
    </w:r>
    <w:r>
      <w:t>-</w:t>
    </w:r>
    <w:r w:rsidR="00E94682">
      <w:t>Feb</w:t>
    </w:r>
    <w:r>
      <w:t>-2015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CE"/>
    <w:rsid w:val="000157A5"/>
    <w:rsid w:val="00161309"/>
    <w:rsid w:val="00167A5B"/>
    <w:rsid w:val="00187B0C"/>
    <w:rsid w:val="001916B4"/>
    <w:rsid w:val="001F50A0"/>
    <w:rsid w:val="002364FA"/>
    <w:rsid w:val="002A4AE7"/>
    <w:rsid w:val="002C423E"/>
    <w:rsid w:val="00354194"/>
    <w:rsid w:val="003D64DF"/>
    <w:rsid w:val="00515FCE"/>
    <w:rsid w:val="005F5251"/>
    <w:rsid w:val="008520C2"/>
    <w:rsid w:val="008B4346"/>
    <w:rsid w:val="008C6E4D"/>
    <w:rsid w:val="008E4E5F"/>
    <w:rsid w:val="008F10EF"/>
    <w:rsid w:val="009C7185"/>
    <w:rsid w:val="00AB5C5A"/>
    <w:rsid w:val="00CA267A"/>
    <w:rsid w:val="00D27FFA"/>
    <w:rsid w:val="00D46F40"/>
    <w:rsid w:val="00D512AB"/>
    <w:rsid w:val="00E94682"/>
    <w:rsid w:val="00ED6DBE"/>
    <w:rsid w:val="00F0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78F41"/>
  <w15:docId w15:val="{61122817-ACD4-4F9A-B535-BC497EB2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5FCE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15FCE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B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346"/>
    <w:rPr>
      <w:rFonts w:ascii="Tahoma" w:hAnsi="Tahoma" w:cs="Tahoma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1F5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50A0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F5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50A0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F:\Stage%20Wageningen\ROHs\ROHs_othe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ge%20Wageningen\ROHs\ROHs_othe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ge%20Wageningen\ROHs\verdeling_SNPs_per_bi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Blad5!$A$31</c:f>
              <c:strCache>
                <c:ptCount val="1"/>
                <c:pt idx="0">
                  <c:v>02M01</c:v>
                </c:pt>
              </c:strCache>
            </c:strRef>
          </c:tx>
          <c:invertIfNegative val="0"/>
          <c:cat>
            <c:strRef>
              <c:f>Blad5!$C$20:$I$20</c:f>
              <c:strCache>
                <c:ptCount val="7"/>
                <c:pt idx="0">
                  <c:v>&gt;0.2</c:v>
                </c:pt>
                <c:pt idx="1">
                  <c:v>0.2-0.5</c:v>
                </c:pt>
                <c:pt idx="2">
                  <c:v>0.5-1.0</c:v>
                </c:pt>
                <c:pt idx="3">
                  <c:v>1.0-2.0</c:v>
                </c:pt>
                <c:pt idx="4">
                  <c:v>2.0-5.0</c:v>
                </c:pt>
                <c:pt idx="5">
                  <c:v>5.0-10.0</c:v>
                </c:pt>
                <c:pt idx="6">
                  <c:v>&gt;10.0</c:v>
                </c:pt>
              </c:strCache>
            </c:strRef>
          </c:cat>
          <c:val>
            <c:numRef>
              <c:f>Blad5!$C$31:$I$31</c:f>
              <c:numCache>
                <c:formatCode>General</c:formatCode>
                <c:ptCount val="7"/>
                <c:pt idx="0">
                  <c:v>1.3330998949527301E-2</c:v>
                </c:pt>
                <c:pt idx="1">
                  <c:v>2.8162673202941301E-3</c:v>
                </c:pt>
                <c:pt idx="2">
                  <c:v>3.8467310289630298E-3</c:v>
                </c:pt>
                <c:pt idx="3">
                  <c:v>1.9958981541693798E-3</c:v>
                </c:pt>
                <c:pt idx="4">
                  <c:v>4.6721024461007397E-3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3C-420E-8081-3679DE21F9B9}"/>
            </c:ext>
          </c:extLst>
        </c:ser>
        <c:ser>
          <c:idx val="1"/>
          <c:order val="1"/>
          <c:tx>
            <c:strRef>
              <c:f>Blad5!$A$32</c:f>
              <c:strCache>
                <c:ptCount val="1"/>
                <c:pt idx="0">
                  <c:v>02M02</c:v>
                </c:pt>
              </c:strCache>
            </c:strRef>
          </c:tx>
          <c:invertIfNegative val="0"/>
          <c:val>
            <c:numRef>
              <c:f>Blad5!$C$32:$I$32</c:f>
              <c:numCache>
                <c:formatCode>General</c:formatCode>
                <c:ptCount val="7"/>
                <c:pt idx="0">
                  <c:v>6.7105091939181002E-2</c:v>
                </c:pt>
                <c:pt idx="1">
                  <c:v>4.35422359688898E-3</c:v>
                </c:pt>
                <c:pt idx="2">
                  <c:v>7.5523257559832998E-3</c:v>
                </c:pt>
                <c:pt idx="3">
                  <c:v>7.9927529703812707E-3</c:v>
                </c:pt>
                <c:pt idx="4">
                  <c:v>1.0224918170625499E-2</c:v>
                </c:pt>
                <c:pt idx="5">
                  <c:v>8.6934326296507596E-3</c:v>
                </c:pt>
                <c:pt idx="6">
                  <c:v>2.70362251383842E-2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3C-420E-8081-3679DE21F9B9}"/>
            </c:ext>
          </c:extLst>
        </c:ser>
        <c:ser>
          <c:idx val="2"/>
          <c:order val="2"/>
          <c:tx>
            <c:strRef>
              <c:f>Blad5!$A$33</c:f>
              <c:strCache>
                <c:ptCount val="1"/>
                <c:pt idx="0">
                  <c:v>01F01</c:v>
                </c:pt>
              </c:strCache>
            </c:strRef>
          </c:tx>
          <c:invertIfNegative val="0"/>
          <c:val>
            <c:numRef>
              <c:f>Blad5!$C$33:$I$33</c:f>
              <c:numCache>
                <c:formatCode>General</c:formatCode>
                <c:ptCount val="7"/>
                <c:pt idx="0">
                  <c:v>0.12512676848309601</c:v>
                </c:pt>
                <c:pt idx="1">
                  <c:v>8.1734293259431105E-3</c:v>
                </c:pt>
                <c:pt idx="2">
                  <c:v>7.55088311192778E-3</c:v>
                </c:pt>
                <c:pt idx="3">
                  <c:v>1.15522486971714E-2</c:v>
                </c:pt>
                <c:pt idx="4">
                  <c:v>1.99566225863783E-2</c:v>
                </c:pt>
                <c:pt idx="5">
                  <c:v>1.20944663674428E-2</c:v>
                </c:pt>
                <c:pt idx="6">
                  <c:v>6.5297064995833001E-2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A3C-420E-8081-3679DE21F9B9}"/>
            </c:ext>
          </c:extLst>
        </c:ser>
        <c:ser>
          <c:idx val="3"/>
          <c:order val="3"/>
          <c:tx>
            <c:strRef>
              <c:f>Blad5!$A$34</c:f>
              <c:strCache>
                <c:ptCount val="1"/>
                <c:pt idx="0">
                  <c:v>Kb14130</c:v>
                </c:pt>
              </c:strCache>
            </c:strRef>
          </c:tx>
          <c:invertIfNegative val="0"/>
          <c:val>
            <c:numRef>
              <c:f>Blad5!$C$34:$I$34</c:f>
              <c:numCache>
                <c:formatCode>General</c:formatCode>
                <c:ptCount val="7"/>
                <c:pt idx="0">
                  <c:v>0.167979068278236</c:v>
                </c:pt>
                <c:pt idx="1">
                  <c:v>8.3496758184583401E-3</c:v>
                </c:pt>
                <c:pt idx="2">
                  <c:v>9.2451772992876002E-3</c:v>
                </c:pt>
                <c:pt idx="3">
                  <c:v>1.85553910189706E-2</c:v>
                </c:pt>
                <c:pt idx="4">
                  <c:v>1.9335828063715699E-2</c:v>
                </c:pt>
                <c:pt idx="5">
                  <c:v>1.6094012647082399E-2</c:v>
                </c:pt>
                <c:pt idx="6">
                  <c:v>9.5898703273833305E-2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A3C-420E-8081-3679DE21F9B9}"/>
            </c:ext>
          </c:extLst>
        </c:ser>
        <c:ser>
          <c:idx val="4"/>
          <c:order val="4"/>
          <c:tx>
            <c:strRef>
              <c:f>Blad5!$A$35</c:f>
              <c:strCache>
                <c:ptCount val="1"/>
                <c:pt idx="0">
                  <c:v>Kb16637</c:v>
                </c:pt>
              </c:strCache>
            </c:strRef>
          </c:tx>
          <c:invertIfNegative val="0"/>
          <c:val>
            <c:numRef>
              <c:f>Blad5!$C$35:$I$35</c:f>
              <c:numCache>
                <c:formatCode>General</c:formatCode>
                <c:ptCount val="7"/>
                <c:pt idx="0">
                  <c:v>0.13474801855837901</c:v>
                </c:pt>
                <c:pt idx="1">
                  <c:v>1.1656420270385E-2</c:v>
                </c:pt>
                <c:pt idx="2">
                  <c:v>8.3003301154155398E-3</c:v>
                </c:pt>
                <c:pt idx="3">
                  <c:v>1.56068180569636E-2</c:v>
                </c:pt>
                <c:pt idx="4">
                  <c:v>2.33477998132176E-2</c:v>
                </c:pt>
                <c:pt idx="5">
                  <c:v>1.5956410781439601E-2</c:v>
                </c:pt>
                <c:pt idx="6">
                  <c:v>5.9131112254223801E-2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A3C-420E-8081-3679DE21F9B9}"/>
            </c:ext>
          </c:extLst>
        </c:ser>
        <c:ser>
          <c:idx val="5"/>
          <c:order val="5"/>
          <c:tx>
            <c:strRef>
              <c:f>Blad5!$A$36</c:f>
              <c:strCache>
                <c:ptCount val="1"/>
                <c:pt idx="0">
                  <c:v>Kb16508</c:v>
                </c:pt>
              </c:strCache>
            </c:strRef>
          </c:tx>
          <c:invertIfNegative val="0"/>
          <c:val>
            <c:numRef>
              <c:f>Blad5!$C$36:$I$36</c:f>
              <c:numCache>
                <c:formatCode>General</c:formatCode>
                <c:ptCount val="7"/>
                <c:pt idx="0">
                  <c:v>9.4293485041295505E-2</c:v>
                </c:pt>
                <c:pt idx="1">
                  <c:v>7.4905806322828599E-3</c:v>
                </c:pt>
                <c:pt idx="2">
                  <c:v>1.39681113855828E-2</c:v>
                </c:pt>
                <c:pt idx="3">
                  <c:v>1.49412381166255E-2</c:v>
                </c:pt>
                <c:pt idx="4">
                  <c:v>2.0510517254285501E-2</c:v>
                </c:pt>
                <c:pt idx="5">
                  <c:v>2.4742370935948301E-2</c:v>
                </c:pt>
                <c:pt idx="6">
                  <c:v>1.1642588018065199E-2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A3C-420E-8081-3679DE21F9B9}"/>
            </c:ext>
          </c:extLst>
        </c:ser>
        <c:ser>
          <c:idx val="6"/>
          <c:order val="6"/>
          <c:tx>
            <c:strRef>
              <c:f>Blad5!$A$37</c:f>
              <c:strCache>
                <c:ptCount val="1"/>
                <c:pt idx="0">
                  <c:v>Kb17528</c:v>
                </c:pt>
              </c:strCache>
            </c:strRef>
          </c:tx>
          <c:invertIfNegative val="0"/>
          <c:val>
            <c:numRef>
              <c:f>Blad5!$C$37:$I$37</c:f>
              <c:numCache>
                <c:formatCode>General</c:formatCode>
                <c:ptCount val="7"/>
                <c:pt idx="0">
                  <c:v>0.278434945410311</c:v>
                </c:pt>
                <c:pt idx="1">
                  <c:v>1.23946877049303E-2</c:v>
                </c:pt>
                <c:pt idx="2">
                  <c:v>1.6139124862962598E-2</c:v>
                </c:pt>
                <c:pt idx="3">
                  <c:v>1.6114095202815301E-2</c:v>
                </c:pt>
                <c:pt idx="4">
                  <c:v>3.6768570756346299E-2</c:v>
                </c:pt>
                <c:pt idx="5">
                  <c:v>2.3958390692971201E-2</c:v>
                </c:pt>
                <c:pt idx="6">
                  <c:v>0.17180859318292199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A3C-420E-8081-3679DE21F9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8035456"/>
        <c:axId val="175587328"/>
      </c:barChart>
      <c:catAx>
        <c:axId val="2380354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Coverage per category (Mb)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175587328"/>
        <c:crosses val="autoZero"/>
        <c:auto val="1"/>
        <c:lblAlgn val="ctr"/>
        <c:lblOffset val="100"/>
        <c:noMultiLvlLbl val="0"/>
      </c:catAx>
      <c:valAx>
        <c:axId val="175587328"/>
        <c:scaling>
          <c:orientation val="minMax"/>
          <c:max val="0.6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Proportion of genome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38035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323185576733296"/>
          <c:y val="0.15784589374310701"/>
          <c:w val="0.13562608295133"/>
          <c:h val="0.58298407209172698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Blad5!$A$22</c:f>
              <c:strCache>
                <c:ptCount val="1"/>
                <c:pt idx="0">
                  <c:v>WB29U14</c:v>
                </c:pt>
              </c:strCache>
            </c:strRef>
          </c:tx>
          <c:invertIfNegative val="0"/>
          <c:cat>
            <c:strRef>
              <c:f>Blad5!$C$20:$I$20</c:f>
              <c:strCache>
                <c:ptCount val="7"/>
                <c:pt idx="0">
                  <c:v>&gt;0.2</c:v>
                </c:pt>
                <c:pt idx="1">
                  <c:v>0.2-0.5</c:v>
                </c:pt>
                <c:pt idx="2">
                  <c:v>0.5-1.0</c:v>
                </c:pt>
                <c:pt idx="3">
                  <c:v>1.0-2.0</c:v>
                </c:pt>
                <c:pt idx="4">
                  <c:v>2.0-5.0</c:v>
                </c:pt>
                <c:pt idx="5">
                  <c:v>5.0-10.0</c:v>
                </c:pt>
                <c:pt idx="6">
                  <c:v>&gt;10.0</c:v>
                </c:pt>
              </c:strCache>
            </c:strRef>
          </c:cat>
          <c:val>
            <c:numRef>
              <c:f>Blad5!$C$22:$I$22</c:f>
              <c:numCache>
                <c:formatCode>General</c:formatCode>
                <c:ptCount val="7"/>
                <c:pt idx="0">
                  <c:v>4.7150641446869597E-2</c:v>
                </c:pt>
                <c:pt idx="1">
                  <c:v>1.4102732593992944E-3</c:v>
                </c:pt>
                <c:pt idx="2">
                  <c:v>4.7413488075861579E-3</c:v>
                </c:pt>
                <c:pt idx="3">
                  <c:v>3.5686484628526948E-3</c:v>
                </c:pt>
                <c:pt idx="4">
                  <c:v>1.7944337171568084E-2</c:v>
                </c:pt>
                <c:pt idx="5">
                  <c:v>1.2818827906224411E-2</c:v>
                </c:pt>
                <c:pt idx="6">
                  <c:v>6.6672058392389577E-3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0B-4D88-862D-78072C7BA241}"/>
            </c:ext>
          </c:extLst>
        </c:ser>
        <c:ser>
          <c:idx val="2"/>
          <c:order val="1"/>
          <c:tx>
            <c:strRef>
              <c:f>Blad5!$A$23</c:f>
              <c:strCache>
                <c:ptCount val="1"/>
                <c:pt idx="0">
                  <c:v>WB30U08</c:v>
                </c:pt>
              </c:strCache>
            </c:strRef>
          </c:tx>
          <c:invertIfNegative val="0"/>
          <c:cat>
            <c:strRef>
              <c:f>Blad5!$C$20:$I$20</c:f>
              <c:strCache>
                <c:ptCount val="7"/>
                <c:pt idx="0">
                  <c:v>&gt;0.2</c:v>
                </c:pt>
                <c:pt idx="1">
                  <c:v>0.2-0.5</c:v>
                </c:pt>
                <c:pt idx="2">
                  <c:v>0.5-1.0</c:v>
                </c:pt>
                <c:pt idx="3">
                  <c:v>1.0-2.0</c:v>
                </c:pt>
                <c:pt idx="4">
                  <c:v>2.0-5.0</c:v>
                </c:pt>
                <c:pt idx="5">
                  <c:v>5.0-10.0</c:v>
                </c:pt>
                <c:pt idx="6">
                  <c:v>&gt;10.0</c:v>
                </c:pt>
              </c:strCache>
            </c:strRef>
          </c:cat>
          <c:val>
            <c:numRef>
              <c:f>Blad5!$C$23:$I$23</c:f>
              <c:numCache>
                <c:formatCode>General</c:formatCode>
                <c:ptCount val="7"/>
                <c:pt idx="0">
                  <c:v>0.15554954476789287</c:v>
                </c:pt>
                <c:pt idx="1">
                  <c:v>5.8639203037602582E-3</c:v>
                </c:pt>
                <c:pt idx="2">
                  <c:v>1.6892581553913363E-2</c:v>
                </c:pt>
                <c:pt idx="3">
                  <c:v>2.4757073449557018E-2</c:v>
                </c:pt>
                <c:pt idx="4">
                  <c:v>3.5219246315273754E-2</c:v>
                </c:pt>
                <c:pt idx="5">
                  <c:v>3.5469317764259177E-2</c:v>
                </c:pt>
                <c:pt idx="6">
                  <c:v>3.6837055485240681E-2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0B-4D88-862D-78072C7BA241}"/>
            </c:ext>
          </c:extLst>
        </c:ser>
        <c:ser>
          <c:idx val="4"/>
          <c:order val="2"/>
          <c:tx>
            <c:strRef>
              <c:f>Blad5!$A$25</c:f>
              <c:strCache>
                <c:ptCount val="1"/>
                <c:pt idx="0">
                  <c:v>Scelebensis</c:v>
                </c:pt>
              </c:strCache>
            </c:strRef>
          </c:tx>
          <c:invertIfNegative val="0"/>
          <c:cat>
            <c:strRef>
              <c:f>Blad5!$C$20:$I$20</c:f>
              <c:strCache>
                <c:ptCount val="7"/>
                <c:pt idx="0">
                  <c:v>&gt;0.2</c:v>
                </c:pt>
                <c:pt idx="1">
                  <c:v>0.2-0.5</c:v>
                </c:pt>
                <c:pt idx="2">
                  <c:v>0.5-1.0</c:v>
                </c:pt>
                <c:pt idx="3">
                  <c:v>1.0-2.0</c:v>
                </c:pt>
                <c:pt idx="4">
                  <c:v>2.0-5.0</c:v>
                </c:pt>
                <c:pt idx="5">
                  <c:v>5.0-10.0</c:v>
                </c:pt>
                <c:pt idx="6">
                  <c:v>&gt;10.0</c:v>
                </c:pt>
              </c:strCache>
            </c:strRef>
          </c:cat>
          <c:val>
            <c:numRef>
              <c:f>Blad5!$C$25:$I$25</c:f>
              <c:numCache>
                <c:formatCode>General</c:formatCode>
                <c:ptCount val="7"/>
                <c:pt idx="0">
                  <c:v>4.8913912313656528E-2</c:v>
                </c:pt>
                <c:pt idx="1">
                  <c:v>1.074097757883378E-3</c:v>
                </c:pt>
                <c:pt idx="2">
                  <c:v>2.4429479237440552E-3</c:v>
                </c:pt>
                <c:pt idx="3">
                  <c:v>4.5411854042604217E-3</c:v>
                </c:pt>
                <c:pt idx="4">
                  <c:v>1.3718476479757004E-2</c:v>
                </c:pt>
                <c:pt idx="5">
                  <c:v>1.1200591503137364E-2</c:v>
                </c:pt>
                <c:pt idx="6">
                  <c:v>1.5686823068622357E-2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A0B-4D88-862D-78072C7BA241}"/>
            </c:ext>
          </c:extLst>
        </c:ser>
        <c:ser>
          <c:idx val="5"/>
          <c:order val="3"/>
          <c:tx>
            <c:strRef>
              <c:f>Blad5!$A$26</c:f>
              <c:strCache>
                <c:ptCount val="1"/>
                <c:pt idx="0">
                  <c:v>Sbarbatus</c:v>
                </c:pt>
              </c:strCache>
            </c:strRef>
          </c:tx>
          <c:invertIfNegative val="0"/>
          <c:cat>
            <c:strRef>
              <c:f>Blad5!$C$20:$I$20</c:f>
              <c:strCache>
                <c:ptCount val="7"/>
                <c:pt idx="0">
                  <c:v>&gt;0.2</c:v>
                </c:pt>
                <c:pt idx="1">
                  <c:v>0.2-0.5</c:v>
                </c:pt>
                <c:pt idx="2">
                  <c:v>0.5-1.0</c:v>
                </c:pt>
                <c:pt idx="3">
                  <c:v>1.0-2.0</c:v>
                </c:pt>
                <c:pt idx="4">
                  <c:v>2.0-5.0</c:v>
                </c:pt>
                <c:pt idx="5">
                  <c:v>5.0-10.0</c:v>
                </c:pt>
                <c:pt idx="6">
                  <c:v>&gt;10.0</c:v>
                </c:pt>
              </c:strCache>
            </c:strRef>
          </c:cat>
          <c:val>
            <c:numRef>
              <c:f>Blad5!$C$26:$I$26</c:f>
              <c:numCache>
                <c:formatCode>General</c:formatCode>
                <c:ptCount val="7"/>
                <c:pt idx="0">
                  <c:v>9.5383377476782778E-3</c:v>
                </c:pt>
                <c:pt idx="1">
                  <c:v>2.6821336373084791E-4</c:v>
                </c:pt>
                <c:pt idx="2">
                  <c:v>1.318715705010002E-3</c:v>
                </c:pt>
                <c:pt idx="3">
                  <c:v>1.8774935461159353E-3</c:v>
                </c:pt>
                <c:pt idx="4">
                  <c:v>1.6372190744403841E-3</c:v>
                </c:pt>
                <c:pt idx="5">
                  <c:v>3.8779182172751759E-3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A0B-4D88-862D-78072C7BA241}"/>
            </c:ext>
          </c:extLst>
        </c:ser>
        <c:ser>
          <c:idx val="6"/>
          <c:order val="4"/>
          <c:tx>
            <c:strRef>
              <c:f>Blad5!$A$27</c:f>
              <c:strCache>
                <c:ptCount val="1"/>
                <c:pt idx="0">
                  <c:v>Sverrucosus</c:v>
                </c:pt>
              </c:strCache>
            </c:strRef>
          </c:tx>
          <c:invertIfNegative val="0"/>
          <c:cat>
            <c:strRef>
              <c:f>Blad5!$C$20:$I$20</c:f>
              <c:strCache>
                <c:ptCount val="7"/>
                <c:pt idx="0">
                  <c:v>&gt;0.2</c:v>
                </c:pt>
                <c:pt idx="1">
                  <c:v>0.2-0.5</c:v>
                </c:pt>
                <c:pt idx="2">
                  <c:v>0.5-1.0</c:v>
                </c:pt>
                <c:pt idx="3">
                  <c:v>1.0-2.0</c:v>
                </c:pt>
                <c:pt idx="4">
                  <c:v>2.0-5.0</c:v>
                </c:pt>
                <c:pt idx="5">
                  <c:v>5.0-10.0</c:v>
                </c:pt>
                <c:pt idx="6">
                  <c:v>&gt;10.0</c:v>
                </c:pt>
              </c:strCache>
            </c:strRef>
          </c:cat>
          <c:val>
            <c:numRef>
              <c:f>Blad5!$C$27:$I$27</c:f>
              <c:numCache>
                <c:formatCode>General</c:formatCode>
                <c:ptCount val="7"/>
                <c:pt idx="0">
                  <c:v>0.53546330102616779</c:v>
                </c:pt>
                <c:pt idx="1">
                  <c:v>9.6463840043935038E-3</c:v>
                </c:pt>
                <c:pt idx="2">
                  <c:v>2.5801661801946565E-2</c:v>
                </c:pt>
                <c:pt idx="3">
                  <c:v>3.7141375207216734E-2</c:v>
                </c:pt>
                <c:pt idx="4">
                  <c:v>6.8119641604035511E-2</c:v>
                </c:pt>
                <c:pt idx="5">
                  <c:v>8.2637525806746881E-2</c:v>
                </c:pt>
                <c:pt idx="6">
                  <c:v>0.3108454442828521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A0B-4D88-862D-78072C7BA241}"/>
            </c:ext>
          </c:extLst>
        </c:ser>
        <c:ser>
          <c:idx val="0"/>
          <c:order val="5"/>
          <c:tx>
            <c:strRef>
              <c:f>Blad5!$A$24</c:f>
              <c:strCache>
                <c:ptCount val="1"/>
                <c:pt idx="0">
                  <c:v>WB20U02</c:v>
                </c:pt>
              </c:strCache>
            </c:strRef>
          </c:tx>
          <c:invertIfNegative val="0"/>
          <c:val>
            <c:numRef>
              <c:f>Blad5!$C$24:$I$24</c:f>
              <c:numCache>
                <c:formatCode>General</c:formatCode>
                <c:ptCount val="7"/>
                <c:pt idx="0">
                  <c:v>0.94509932552942866</c:v>
                </c:pt>
                <c:pt idx="1">
                  <c:v>4.6756801082433012E-2</c:v>
                </c:pt>
                <c:pt idx="2">
                  <c:v>0.12495131101498595</c:v>
                </c:pt>
                <c:pt idx="3">
                  <c:v>0.22535824842657701</c:v>
                </c:pt>
                <c:pt idx="4">
                  <c:v>0.30409602492876031</c:v>
                </c:pt>
                <c:pt idx="5">
                  <c:v>0.15358043420324319</c:v>
                </c:pt>
                <c:pt idx="6">
                  <c:v>8.3693802660981156E-2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A0B-4D88-862D-78072C7BA2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624576"/>
        <c:axId val="233421568"/>
      </c:barChart>
      <c:catAx>
        <c:axId val="1296245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Coverage per category (Mb)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233421568"/>
        <c:crosses val="autoZero"/>
        <c:auto val="1"/>
        <c:lblAlgn val="ctr"/>
        <c:lblOffset val="100"/>
        <c:noMultiLvlLbl val="0"/>
      </c:catAx>
      <c:valAx>
        <c:axId val="233421568"/>
        <c:scaling>
          <c:orientation val="minMax"/>
          <c:max val="0.60000000000000009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Proportion of genome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9624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Blad1!$B$15</c:f>
              <c:strCache>
                <c:ptCount val="1"/>
                <c:pt idx="0">
                  <c:v>02M01</c:v>
                </c:pt>
              </c:strCache>
            </c:strRef>
          </c:tx>
          <c:invertIfNegative val="0"/>
          <c:cat>
            <c:strRef>
              <c:f>Blad1!$A$16:$A$25</c:f>
              <c:strCache>
                <c:ptCount val="10"/>
                <c:pt idx="0">
                  <c:v>0</c:v>
                </c:pt>
                <c:pt idx="1">
                  <c:v>0-5</c:v>
                </c:pt>
                <c:pt idx="2">
                  <c:v>5-10</c:v>
                </c:pt>
                <c:pt idx="3">
                  <c:v>10-15</c:v>
                </c:pt>
                <c:pt idx="4">
                  <c:v>15-20</c:v>
                </c:pt>
                <c:pt idx="5">
                  <c:v>20-25</c:v>
                </c:pt>
                <c:pt idx="6">
                  <c:v>25-30</c:v>
                </c:pt>
                <c:pt idx="7">
                  <c:v>30-35</c:v>
                </c:pt>
                <c:pt idx="8">
                  <c:v>35-40</c:v>
                </c:pt>
                <c:pt idx="9">
                  <c:v>&gt;40</c:v>
                </c:pt>
              </c:strCache>
            </c:strRef>
          </c:cat>
          <c:val>
            <c:numRef>
              <c:f>Blad1!$B$16:$B$25</c:f>
              <c:numCache>
                <c:formatCode>General</c:formatCode>
                <c:ptCount val="10"/>
                <c:pt idx="0">
                  <c:v>5.5504083192839095E-2</c:v>
                </c:pt>
                <c:pt idx="1">
                  <c:v>0.17141815641185315</c:v>
                </c:pt>
                <c:pt idx="2">
                  <c:v>0.26085855901011051</c:v>
                </c:pt>
                <c:pt idx="3">
                  <c:v>0.25145683662672075</c:v>
                </c:pt>
                <c:pt idx="4">
                  <c:v>0.13833239670509373</c:v>
                </c:pt>
                <c:pt idx="5">
                  <c:v>5.2177787228441096E-2</c:v>
                </c:pt>
                <c:pt idx="6">
                  <c:v>2.2175306429320009E-2</c:v>
                </c:pt>
                <c:pt idx="7">
                  <c:v>1.1006647529073446E-2</c:v>
                </c:pt>
                <c:pt idx="8">
                  <c:v>6.6930947715892813E-3</c:v>
                </c:pt>
                <c:pt idx="9">
                  <c:v>3.0377132094958913E-2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E4-46FF-8DF0-B10A5BEAF295}"/>
            </c:ext>
          </c:extLst>
        </c:ser>
        <c:ser>
          <c:idx val="1"/>
          <c:order val="1"/>
          <c:tx>
            <c:strRef>
              <c:f>Blad1!$C$15</c:f>
              <c:strCache>
                <c:ptCount val="1"/>
                <c:pt idx="0">
                  <c:v>02M02</c:v>
                </c:pt>
              </c:strCache>
            </c:strRef>
          </c:tx>
          <c:invertIfNegative val="0"/>
          <c:cat>
            <c:strRef>
              <c:f>Blad1!$A$16:$A$25</c:f>
              <c:strCache>
                <c:ptCount val="10"/>
                <c:pt idx="0">
                  <c:v>0</c:v>
                </c:pt>
                <c:pt idx="1">
                  <c:v>0-5</c:v>
                </c:pt>
                <c:pt idx="2">
                  <c:v>5-10</c:v>
                </c:pt>
                <c:pt idx="3">
                  <c:v>10-15</c:v>
                </c:pt>
                <c:pt idx="4">
                  <c:v>15-20</c:v>
                </c:pt>
                <c:pt idx="5">
                  <c:v>20-25</c:v>
                </c:pt>
                <c:pt idx="6">
                  <c:v>25-30</c:v>
                </c:pt>
                <c:pt idx="7">
                  <c:v>30-35</c:v>
                </c:pt>
                <c:pt idx="8">
                  <c:v>35-40</c:v>
                </c:pt>
                <c:pt idx="9">
                  <c:v>&gt;40</c:v>
                </c:pt>
              </c:strCache>
            </c:strRef>
          </c:cat>
          <c:val>
            <c:numRef>
              <c:f>Blad1!$C$16:$C$25</c:f>
              <c:numCache>
                <c:formatCode>General</c:formatCode>
                <c:ptCount val="10"/>
                <c:pt idx="0">
                  <c:v>6.4794816414686832E-2</c:v>
                </c:pt>
                <c:pt idx="1">
                  <c:v>0.18350512157047238</c:v>
                </c:pt>
                <c:pt idx="2">
                  <c:v>0.25759147189016957</c:v>
                </c:pt>
                <c:pt idx="3">
                  <c:v>0.24757286743793169</c:v>
                </c:pt>
                <c:pt idx="4">
                  <c:v>0.12992109146119796</c:v>
                </c:pt>
                <c:pt idx="5">
                  <c:v>4.8922224835874516E-2</c:v>
                </c:pt>
                <c:pt idx="6">
                  <c:v>1.9801980198019802E-2</c:v>
                </c:pt>
                <c:pt idx="7">
                  <c:v>1.0729636678570666E-2</c:v>
                </c:pt>
                <c:pt idx="8">
                  <c:v>6.7949019523982634E-3</c:v>
                </c:pt>
                <c:pt idx="9">
                  <c:v>3.0365887560678314E-2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E4-46FF-8DF0-B10A5BEAF295}"/>
            </c:ext>
          </c:extLst>
        </c:ser>
        <c:ser>
          <c:idx val="2"/>
          <c:order val="2"/>
          <c:tx>
            <c:strRef>
              <c:f>Blad1!$D$15</c:f>
              <c:strCache>
                <c:ptCount val="1"/>
                <c:pt idx="0">
                  <c:v>01F01</c:v>
                </c:pt>
              </c:strCache>
            </c:strRef>
          </c:tx>
          <c:invertIfNegative val="0"/>
          <c:cat>
            <c:strRef>
              <c:f>Blad1!$A$16:$A$25</c:f>
              <c:strCache>
                <c:ptCount val="10"/>
                <c:pt idx="0">
                  <c:v>0</c:v>
                </c:pt>
                <c:pt idx="1">
                  <c:v>0-5</c:v>
                </c:pt>
                <c:pt idx="2">
                  <c:v>5-10</c:v>
                </c:pt>
                <c:pt idx="3">
                  <c:v>10-15</c:v>
                </c:pt>
                <c:pt idx="4">
                  <c:v>15-20</c:v>
                </c:pt>
                <c:pt idx="5">
                  <c:v>20-25</c:v>
                </c:pt>
                <c:pt idx="6">
                  <c:v>25-30</c:v>
                </c:pt>
                <c:pt idx="7">
                  <c:v>30-35</c:v>
                </c:pt>
                <c:pt idx="8">
                  <c:v>35-40</c:v>
                </c:pt>
                <c:pt idx="9">
                  <c:v>&gt;40</c:v>
                </c:pt>
              </c:strCache>
            </c:strRef>
          </c:cat>
          <c:val>
            <c:numRef>
              <c:f>Blad1!$D$16:$D$25</c:f>
              <c:numCache>
                <c:formatCode>General</c:formatCode>
                <c:ptCount val="10"/>
                <c:pt idx="0">
                  <c:v>8.0718048869107092E-2</c:v>
                </c:pt>
                <c:pt idx="1">
                  <c:v>0.17829730220728496</c:v>
                </c:pt>
                <c:pt idx="2">
                  <c:v>0.276614588064311</c:v>
                </c:pt>
                <c:pt idx="3">
                  <c:v>0.23996843491688619</c:v>
                </c:pt>
                <c:pt idx="4">
                  <c:v>0.11448587519302389</c:v>
                </c:pt>
                <c:pt idx="5">
                  <c:v>4.182941229902807E-2</c:v>
                </c:pt>
                <c:pt idx="6">
                  <c:v>1.8218048869107096E-2</c:v>
                </c:pt>
                <c:pt idx="7">
                  <c:v>1.0270006358434008E-2</c:v>
                </c:pt>
                <c:pt idx="8">
                  <c:v>6.9261513307294032E-3</c:v>
                </c:pt>
                <c:pt idx="9">
                  <c:v>3.2672131892088292E-2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0E4-46FF-8DF0-B10A5BEAF295}"/>
            </c:ext>
          </c:extLst>
        </c:ser>
        <c:ser>
          <c:idx val="3"/>
          <c:order val="3"/>
          <c:tx>
            <c:strRef>
              <c:f>Blad1!$E$15</c:f>
              <c:strCache>
                <c:ptCount val="1"/>
                <c:pt idx="0">
                  <c:v>Kb14130</c:v>
                </c:pt>
              </c:strCache>
            </c:strRef>
          </c:tx>
          <c:invertIfNegative val="0"/>
          <c:cat>
            <c:strRef>
              <c:f>Blad1!$A$16:$A$25</c:f>
              <c:strCache>
                <c:ptCount val="10"/>
                <c:pt idx="0">
                  <c:v>0</c:v>
                </c:pt>
                <c:pt idx="1">
                  <c:v>0-5</c:v>
                </c:pt>
                <c:pt idx="2">
                  <c:v>5-10</c:v>
                </c:pt>
                <c:pt idx="3">
                  <c:v>10-15</c:v>
                </c:pt>
                <c:pt idx="4">
                  <c:v>15-20</c:v>
                </c:pt>
                <c:pt idx="5">
                  <c:v>20-25</c:v>
                </c:pt>
                <c:pt idx="6">
                  <c:v>25-30</c:v>
                </c:pt>
                <c:pt idx="7">
                  <c:v>30-35</c:v>
                </c:pt>
                <c:pt idx="8">
                  <c:v>35-40</c:v>
                </c:pt>
                <c:pt idx="9">
                  <c:v>&gt;40</c:v>
                </c:pt>
              </c:strCache>
            </c:strRef>
          </c:cat>
          <c:val>
            <c:numRef>
              <c:f>Blad1!$E$16:$E$25</c:f>
              <c:numCache>
                <c:formatCode>General</c:formatCode>
                <c:ptCount val="10"/>
                <c:pt idx="0">
                  <c:v>0.10591745400298359</c:v>
                </c:pt>
                <c:pt idx="1">
                  <c:v>0.17768157486763975</c:v>
                </c:pt>
                <c:pt idx="2">
                  <c:v>0.26931289671512565</c:v>
                </c:pt>
                <c:pt idx="3">
                  <c:v>0.22544241963319389</c:v>
                </c:pt>
                <c:pt idx="4">
                  <c:v>0.10434960657559891</c:v>
                </c:pt>
                <c:pt idx="5">
                  <c:v>4.0939538421037237E-2</c:v>
                </c:pt>
                <c:pt idx="6">
                  <c:v>1.8322754263316466E-2</c:v>
                </c:pt>
                <c:pt idx="7">
                  <c:v>1.1343493140667505E-2</c:v>
                </c:pt>
                <c:pt idx="8">
                  <c:v>7.9562406762804568E-3</c:v>
                </c:pt>
                <c:pt idx="9">
                  <c:v>3.8734021704156553E-2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0E4-46FF-8DF0-B10A5BEAF295}"/>
            </c:ext>
          </c:extLst>
        </c:ser>
        <c:ser>
          <c:idx val="4"/>
          <c:order val="4"/>
          <c:tx>
            <c:strRef>
              <c:f>Blad1!$F$15</c:f>
              <c:strCache>
                <c:ptCount val="1"/>
                <c:pt idx="0">
                  <c:v>Kb16637</c:v>
                </c:pt>
              </c:strCache>
            </c:strRef>
          </c:tx>
          <c:invertIfNegative val="0"/>
          <c:cat>
            <c:strRef>
              <c:f>Blad1!$A$16:$A$25</c:f>
              <c:strCache>
                <c:ptCount val="10"/>
                <c:pt idx="0">
                  <c:v>0</c:v>
                </c:pt>
                <c:pt idx="1">
                  <c:v>0-5</c:v>
                </c:pt>
                <c:pt idx="2">
                  <c:v>5-10</c:v>
                </c:pt>
                <c:pt idx="3">
                  <c:v>10-15</c:v>
                </c:pt>
                <c:pt idx="4">
                  <c:v>15-20</c:v>
                </c:pt>
                <c:pt idx="5">
                  <c:v>20-25</c:v>
                </c:pt>
                <c:pt idx="6">
                  <c:v>25-30</c:v>
                </c:pt>
                <c:pt idx="7">
                  <c:v>30-35</c:v>
                </c:pt>
                <c:pt idx="8">
                  <c:v>35-40</c:v>
                </c:pt>
                <c:pt idx="9">
                  <c:v>&gt;40</c:v>
                </c:pt>
              </c:strCache>
            </c:strRef>
          </c:cat>
          <c:val>
            <c:numRef>
              <c:f>Blad1!$F$16:$F$25</c:f>
              <c:numCache>
                <c:formatCode>General</c:formatCode>
                <c:ptCount val="10"/>
                <c:pt idx="0">
                  <c:v>0.1002500970696389</c:v>
                </c:pt>
                <c:pt idx="1">
                  <c:v>0.1754390973665578</c:v>
                </c:pt>
                <c:pt idx="2">
                  <c:v>0.26085466962062903</c:v>
                </c:pt>
                <c:pt idx="3">
                  <c:v>0.23020921362172533</c:v>
                </c:pt>
                <c:pt idx="4">
                  <c:v>0.11234383208094466</c:v>
                </c:pt>
                <c:pt idx="5">
                  <c:v>4.3190279332160887E-2</c:v>
                </c:pt>
                <c:pt idx="6">
                  <c:v>1.9214078523627894E-2</c:v>
                </c:pt>
                <c:pt idx="7">
                  <c:v>1.1825366009638445E-2</c:v>
                </c:pt>
                <c:pt idx="8">
                  <c:v>7.6970513669689152E-3</c:v>
                </c:pt>
                <c:pt idx="9">
                  <c:v>3.8976315008108171E-2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0E4-46FF-8DF0-B10A5BEAF295}"/>
            </c:ext>
          </c:extLst>
        </c:ser>
        <c:ser>
          <c:idx val="5"/>
          <c:order val="5"/>
          <c:tx>
            <c:strRef>
              <c:f>Blad1!$G$15</c:f>
              <c:strCache>
                <c:ptCount val="1"/>
                <c:pt idx="0">
                  <c:v>Kb16508</c:v>
                </c:pt>
              </c:strCache>
            </c:strRef>
          </c:tx>
          <c:invertIfNegative val="0"/>
          <c:cat>
            <c:strRef>
              <c:f>Blad1!$A$16:$A$25</c:f>
              <c:strCache>
                <c:ptCount val="10"/>
                <c:pt idx="0">
                  <c:v>0</c:v>
                </c:pt>
                <c:pt idx="1">
                  <c:v>0-5</c:v>
                </c:pt>
                <c:pt idx="2">
                  <c:v>5-10</c:v>
                </c:pt>
                <c:pt idx="3">
                  <c:v>10-15</c:v>
                </c:pt>
                <c:pt idx="4">
                  <c:v>15-20</c:v>
                </c:pt>
                <c:pt idx="5">
                  <c:v>20-25</c:v>
                </c:pt>
                <c:pt idx="6">
                  <c:v>25-30</c:v>
                </c:pt>
                <c:pt idx="7">
                  <c:v>30-35</c:v>
                </c:pt>
                <c:pt idx="8">
                  <c:v>35-40</c:v>
                </c:pt>
                <c:pt idx="9">
                  <c:v>&gt;40</c:v>
                </c:pt>
              </c:strCache>
            </c:strRef>
          </c:cat>
          <c:val>
            <c:numRef>
              <c:f>Blad1!$G$16:$G$25</c:f>
              <c:numCache>
                <c:formatCode>General</c:formatCode>
                <c:ptCount val="10"/>
                <c:pt idx="0">
                  <c:v>9.7505259993988583E-2</c:v>
                </c:pt>
                <c:pt idx="1">
                  <c:v>0.17477935349892068</c:v>
                </c:pt>
                <c:pt idx="2">
                  <c:v>0.25677514550372982</c:v>
                </c:pt>
                <c:pt idx="3">
                  <c:v>0.23450556056507363</c:v>
                </c:pt>
                <c:pt idx="4">
                  <c:v>0.1170806350247288</c:v>
                </c:pt>
                <c:pt idx="5">
                  <c:v>4.3642921550946796E-2</c:v>
                </c:pt>
                <c:pt idx="6">
                  <c:v>1.9187365084569773E-2</c:v>
                </c:pt>
                <c:pt idx="7">
                  <c:v>1.0913462852146351E-2</c:v>
                </c:pt>
                <c:pt idx="8">
                  <c:v>7.7110145640353032E-3</c:v>
                </c:pt>
                <c:pt idx="9">
                  <c:v>3.7899281361860264E-2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0E4-46FF-8DF0-B10A5BEAF295}"/>
            </c:ext>
          </c:extLst>
        </c:ser>
        <c:ser>
          <c:idx val="6"/>
          <c:order val="6"/>
          <c:tx>
            <c:strRef>
              <c:f>Blad1!$H$15</c:f>
              <c:strCache>
                <c:ptCount val="1"/>
                <c:pt idx="0">
                  <c:v>Kb17528</c:v>
                </c:pt>
              </c:strCache>
            </c:strRef>
          </c:tx>
          <c:invertIfNegative val="0"/>
          <c:cat>
            <c:strRef>
              <c:f>Blad1!$A$16:$A$25</c:f>
              <c:strCache>
                <c:ptCount val="10"/>
                <c:pt idx="0">
                  <c:v>0</c:v>
                </c:pt>
                <c:pt idx="1">
                  <c:v>0-5</c:v>
                </c:pt>
                <c:pt idx="2">
                  <c:v>5-10</c:v>
                </c:pt>
                <c:pt idx="3">
                  <c:v>10-15</c:v>
                </c:pt>
                <c:pt idx="4">
                  <c:v>15-20</c:v>
                </c:pt>
                <c:pt idx="5">
                  <c:v>20-25</c:v>
                </c:pt>
                <c:pt idx="6">
                  <c:v>25-30</c:v>
                </c:pt>
                <c:pt idx="7">
                  <c:v>30-35</c:v>
                </c:pt>
                <c:pt idx="8">
                  <c:v>35-40</c:v>
                </c:pt>
                <c:pt idx="9">
                  <c:v>&gt;40</c:v>
                </c:pt>
              </c:strCache>
            </c:strRef>
          </c:cat>
          <c:val>
            <c:numRef>
              <c:f>Blad1!$H$16:$H$25</c:f>
              <c:numCache>
                <c:formatCode>General</c:formatCode>
                <c:ptCount val="10"/>
                <c:pt idx="0">
                  <c:v>0.10942097484988483</c:v>
                </c:pt>
                <c:pt idx="1">
                  <c:v>0.17987857646886524</c:v>
                </c:pt>
                <c:pt idx="2">
                  <c:v>0.26558734638991333</c:v>
                </c:pt>
                <c:pt idx="3">
                  <c:v>0.22502629511776218</c:v>
                </c:pt>
                <c:pt idx="4">
                  <c:v>0.10386904365655247</c:v>
                </c:pt>
                <c:pt idx="5">
                  <c:v>4.0248172655740322E-2</c:v>
                </c:pt>
                <c:pt idx="6">
                  <c:v>1.8413239425368464E-2</c:v>
                </c:pt>
                <c:pt idx="7">
                  <c:v>1.1343514092851722E-2</c:v>
                </c:pt>
                <c:pt idx="8">
                  <c:v>7.7487385000465986E-3</c:v>
                </c:pt>
                <c:pt idx="9">
                  <c:v>3.846409884301482E-2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0E4-46FF-8DF0-B10A5BEAF2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771008"/>
        <c:axId val="266366336"/>
      </c:barChart>
      <c:catAx>
        <c:axId val="2337710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dirty="0"/>
                  <a:t>Average nr of SNPs per bin (</a:t>
                </a:r>
                <a:r>
                  <a:rPr lang="en-US" dirty="0" smtClean="0"/>
                  <a:t>10kb)</a:t>
                </a:r>
                <a:endParaRPr lang="en-US" dirty="0"/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266366336"/>
        <c:crosses val="autoZero"/>
        <c:auto val="1"/>
        <c:lblAlgn val="ctr"/>
        <c:lblOffset val="100"/>
        <c:noMultiLvlLbl val="0"/>
      </c:catAx>
      <c:valAx>
        <c:axId val="2663663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dirty="0" smtClean="0"/>
                  <a:t>Proportion</a:t>
                </a:r>
                <a:r>
                  <a:rPr lang="en-US" baseline="0" dirty="0" smtClean="0"/>
                  <a:t> of bins outside ROHs</a:t>
                </a:r>
                <a:endParaRPr lang="en-US" dirty="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33771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0.23171</cdr:x>
      <cdr:y>0.05556</cdr:y>
    </cdr:from>
    <cdr:to>
      <cdr:x>0.23171</cdr:x>
      <cdr:y>0.75397</cdr:y>
    </cdr:to>
    <cdr:cxnSp macro="">
      <cdr:nvCxnSpPr>
        <cdr:cNvPr id="2" name="Straight Connector 1"/>
        <cdr:cNvCxnSpPr/>
      </cdr:nvCxnSpPr>
      <cdr:spPr>
        <a:xfrm xmlns:a="http://schemas.openxmlformats.org/drawingml/2006/main" flipV="1">
          <a:off x="1085850" y="133350"/>
          <a:ext cx="0" cy="167640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Rascha Nuijten</dc:creator>
  <cp:keywords/>
  <dc:description/>
  <cp:lastModifiedBy>Rascha Nuijten</cp:lastModifiedBy>
  <cp:revision>4</cp:revision>
  <dcterms:created xsi:type="dcterms:W3CDTF">2016-02-01T20:04:00Z</dcterms:created>
  <dcterms:modified xsi:type="dcterms:W3CDTF">2016-02-05T19:18:00Z</dcterms:modified>
</cp:coreProperties>
</file>