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CB" w:rsidRPr="00A000CB" w:rsidRDefault="00A000CB" w:rsidP="00A000CB">
      <w:pPr>
        <w:spacing w:line="480" w:lineRule="auto"/>
        <w:rPr>
          <w:rFonts w:hint="eastAsia"/>
          <w:sz w:val="20"/>
          <w:szCs w:val="20"/>
        </w:rPr>
      </w:pPr>
      <w:bookmarkStart w:id="0" w:name="_GoBack"/>
      <w:r w:rsidRPr="00123375">
        <w:rPr>
          <w:rFonts w:eastAsia="AdvPS_TIR" w:hint="eastAsia"/>
          <w:b/>
          <w:color w:val="292526"/>
          <w:kern w:val="0"/>
          <w:sz w:val="22"/>
          <w:szCs w:val="22"/>
        </w:rPr>
        <w:t>The program of</w:t>
      </w:r>
      <w:r>
        <w:rPr>
          <w:rFonts w:eastAsia="AdvPS_TIR" w:hint="eastAsia"/>
          <w:b/>
          <w:color w:val="292526"/>
          <w:kern w:val="0"/>
          <w:sz w:val="22"/>
          <w:szCs w:val="22"/>
        </w:rPr>
        <w:t xml:space="preserve"> </w:t>
      </w:r>
      <w:r w:rsidRPr="00A000CB">
        <w:rPr>
          <w:rFonts w:eastAsia="AdvPS_TIR"/>
          <w:b/>
          <w:color w:val="292526"/>
          <w:kern w:val="0"/>
          <w:sz w:val="22"/>
          <w:szCs w:val="22"/>
        </w:rPr>
        <w:t>LC-MS/MS analysis</w:t>
      </w:r>
    </w:p>
    <w:bookmarkEnd w:id="0"/>
    <w:p w:rsidR="003802E8" w:rsidRPr="00EF6569" w:rsidRDefault="004A2697" w:rsidP="00EF6569">
      <w:pPr>
        <w:spacing w:line="480" w:lineRule="auto"/>
        <w:ind w:firstLine="420"/>
      </w:pPr>
      <w:r w:rsidRPr="006E42A4">
        <w:rPr>
          <w:sz w:val="20"/>
          <w:szCs w:val="20"/>
        </w:rPr>
        <w:t xml:space="preserve">The mass spectroscopy analysis was performed using a </w:t>
      </w:r>
      <w:bookmarkStart w:id="1" w:name="OLE_LINK43"/>
      <w:bookmarkStart w:id="2" w:name="OLE_LINK44"/>
      <w:r w:rsidRPr="006E42A4">
        <w:rPr>
          <w:sz w:val="20"/>
          <w:szCs w:val="20"/>
        </w:rPr>
        <w:t>TripleTOF 5600</w:t>
      </w:r>
      <w:bookmarkEnd w:id="1"/>
      <w:bookmarkEnd w:id="2"/>
      <w:r w:rsidRPr="006E42A4">
        <w:rPr>
          <w:sz w:val="20"/>
          <w:szCs w:val="20"/>
        </w:rPr>
        <w:t xml:space="preserve"> mass spectrometer, coupled with </w:t>
      </w:r>
      <w:r w:rsidRPr="006E42A4">
        <w:rPr>
          <w:rFonts w:hint="eastAsia"/>
          <w:sz w:val="20"/>
          <w:szCs w:val="20"/>
        </w:rPr>
        <w:t xml:space="preserve">an </w:t>
      </w:r>
      <w:r w:rsidRPr="006E42A4">
        <w:rPr>
          <w:sz w:val="20"/>
          <w:szCs w:val="20"/>
        </w:rPr>
        <w:t>online micro flow HPLC system.</w:t>
      </w:r>
      <w:r>
        <w:rPr>
          <w:sz w:val="20"/>
          <w:szCs w:val="20"/>
        </w:rPr>
        <w:t xml:space="preserve"> </w:t>
      </w:r>
      <w:r w:rsidR="00EF6569" w:rsidRPr="00EF6569">
        <w:t>The peptides were separated using a nanobored C18 column with a picofrit nanospray tip (75 μm ID × 15 cm, 5 μm particles) (New Objectives, Wubrun, MA). The separation was performed at a constant flow rate of 20 μL min</w:t>
      </w:r>
      <w:r w:rsidR="00EF6569" w:rsidRPr="00EF1CC9">
        <w:rPr>
          <w:vertAlign w:val="superscript"/>
        </w:rPr>
        <w:t>−1</w:t>
      </w:r>
      <w:r w:rsidR="00EF6569" w:rsidRPr="00EF6569">
        <w:t>, with a splitter to get an effective flow rate of 0.2 μL min</w:t>
      </w:r>
      <w:r w:rsidR="00EF6569" w:rsidRPr="00EF1CC9">
        <w:rPr>
          <w:vertAlign w:val="superscript"/>
        </w:rPr>
        <w:t>−1</w:t>
      </w:r>
      <w:r w:rsidR="00EF6569" w:rsidRPr="00EF6569">
        <w:t>. The mass spectrometer data were acquired in the positive ion mode, with a selected mass range of 300−2000 m/z. Peptides with +2 to +4 charge states were selected for MS/MS. The three most abundantly charged peptides above a count threshold were selected for MS/MS and dynamically excluded for 30 s with ±30 mDa mass tolerance. Smart information-dependent acquisition (IDA) was activated with automatic collision energy and automatic MS/MS accumulation. The fragment intensity multiplier was set to 20, and the maximum accumulation time was 2 s. The peak areas of the iTRAQ</w:t>
      </w:r>
      <w:r w:rsidR="00E30754">
        <w:t xml:space="preserve"> </w:t>
      </w:r>
      <w:r w:rsidR="00EF6569" w:rsidRPr="00EF6569">
        <w:t>reporter ions reflect the relative abundance of the proteins in the samples. For peptide identification, a Triple TOF 5600 mass spectrometer used in this study has high mass accuracy (less than 2 ppm). Other identification parameters used in</w:t>
      </w:r>
      <w:r w:rsidR="00DA2300">
        <w:t>cluded: fragment mass tolerance</w:t>
      </w:r>
      <w:r w:rsidR="00DA2300">
        <w:rPr>
          <w:rFonts w:hint="eastAsia"/>
        </w:rPr>
        <w:t>:</w:t>
      </w:r>
      <w:r w:rsidR="00DA2300">
        <w:t xml:space="preserve"> ±0.1 Da; mass values:</w:t>
      </w:r>
      <w:r w:rsidR="00EF6569" w:rsidRPr="00EF6569">
        <w:t xml:space="preserve"> monoisotopic</w:t>
      </w:r>
      <w:r w:rsidR="00DA2300">
        <w:t>; variable modifications: Gln</w:t>
      </w:r>
      <w:r w:rsidR="00DA2300">
        <w:rPr>
          <w:rFonts w:hint="eastAsia"/>
        </w:rPr>
        <w:t>-&gt;</w:t>
      </w:r>
      <w:r w:rsidR="00EF6569" w:rsidRPr="00EF6569">
        <w:t xml:space="preserve">pyro-Glu (N-term Q), </w:t>
      </w:r>
      <w:r w:rsidR="00282E0D">
        <w:t>oxidation (M), iTRAQ8plex (Y); pep</w:t>
      </w:r>
      <w:r w:rsidR="00DA2300">
        <w:t>tide mass tolerance:</w:t>
      </w:r>
      <w:r w:rsidR="00EF6569" w:rsidRPr="00EF6569">
        <w:t xml:space="preserve"> 0.05 Da; max. missed cl</w:t>
      </w:r>
      <w:r w:rsidR="00DA2300">
        <w:t>eavages, 1; fixed modifications:</w:t>
      </w:r>
      <w:r w:rsidR="00EF6569" w:rsidRPr="00EF6569">
        <w:t xml:space="preserve"> carbamidomethyl (C), </w:t>
      </w:r>
      <w:r w:rsidR="00DA2300">
        <w:rPr>
          <w:rFonts w:ascii="TimesNewRomanPSMT" w:hAnsi="TimesNewRomanPSMT"/>
          <w:color w:val="000000"/>
        </w:rPr>
        <w:t>iTRAQ8plex (N-term)</w:t>
      </w:r>
      <w:r w:rsidR="00DA2300">
        <w:rPr>
          <w:rFonts w:ascii="TimesNewRomanPSMT" w:hAnsi="TimesNewRomanPSMT" w:hint="eastAsia"/>
          <w:color w:val="000000"/>
        </w:rPr>
        <w:t xml:space="preserve">, </w:t>
      </w:r>
      <w:r w:rsidR="00DA2300">
        <w:rPr>
          <w:rFonts w:ascii="TimesNewRomanPSMT" w:hAnsi="TimesNewRomanPSMT"/>
          <w:color w:val="000000"/>
        </w:rPr>
        <w:t>iTRAQ8plex (K); Other parameters: default.</w:t>
      </w:r>
    </w:p>
    <w:sectPr w:rsidR="003802E8" w:rsidRPr="00EF6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40" w:rsidRDefault="00196D40" w:rsidP="00EF6569">
      <w:r>
        <w:separator/>
      </w:r>
    </w:p>
  </w:endnote>
  <w:endnote w:type="continuationSeparator" w:id="0">
    <w:p w:rsidR="00196D40" w:rsidRDefault="00196D40" w:rsidP="00EF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_TI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40" w:rsidRDefault="00196D40" w:rsidP="00EF6569">
      <w:r>
        <w:separator/>
      </w:r>
    </w:p>
  </w:footnote>
  <w:footnote w:type="continuationSeparator" w:id="0">
    <w:p w:rsidR="00196D40" w:rsidRDefault="00196D40" w:rsidP="00EF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0B"/>
    <w:rsid w:val="00100D0B"/>
    <w:rsid w:val="00196D40"/>
    <w:rsid w:val="001B24C8"/>
    <w:rsid w:val="002510DA"/>
    <w:rsid w:val="00282E0D"/>
    <w:rsid w:val="003B35A2"/>
    <w:rsid w:val="0044696A"/>
    <w:rsid w:val="004A2697"/>
    <w:rsid w:val="00565B49"/>
    <w:rsid w:val="00580222"/>
    <w:rsid w:val="0095042C"/>
    <w:rsid w:val="00A000CB"/>
    <w:rsid w:val="00AD3D94"/>
    <w:rsid w:val="00DA2300"/>
    <w:rsid w:val="00E30754"/>
    <w:rsid w:val="00E458BD"/>
    <w:rsid w:val="00EF1CC9"/>
    <w:rsid w:val="00EF6569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B5FB8"/>
  <w15:chartTrackingRefBased/>
  <w15:docId w15:val="{13E1C7B3-975B-4DF8-8BC4-E3A1EA6C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wangzhe</dc:creator>
  <cp:keywords/>
  <dc:description/>
  <cp:lastModifiedBy>wangzhe</cp:lastModifiedBy>
  <cp:revision>5</cp:revision>
  <dcterms:created xsi:type="dcterms:W3CDTF">2017-07-12T02:10:00Z</dcterms:created>
  <dcterms:modified xsi:type="dcterms:W3CDTF">2017-08-02T13:00:00Z</dcterms:modified>
</cp:coreProperties>
</file>