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CD" w:rsidRPr="00923391" w:rsidRDefault="000F72CD" w:rsidP="000F72CD">
      <w:pPr>
        <w:jc w:val="both"/>
        <w:rPr>
          <w:lang w:val="en-GB"/>
        </w:rPr>
      </w:pPr>
      <w:proofErr w:type="gramStart"/>
      <w:r>
        <w:rPr>
          <w:lang w:val="en-GB"/>
        </w:rPr>
        <w:t>Appendix 1.</w:t>
      </w:r>
      <w:proofErr w:type="gramEnd"/>
      <w:r>
        <w:rPr>
          <w:lang w:val="en-GB"/>
        </w:rPr>
        <w:t xml:space="preserve"> D</w:t>
      </w:r>
      <w:r w:rsidRPr="00923391">
        <w:rPr>
          <w:lang w:val="en-GB"/>
        </w:rPr>
        <w:t xml:space="preserve">ata sources </w:t>
      </w:r>
      <w:r>
        <w:rPr>
          <w:lang w:val="en-GB"/>
        </w:rPr>
        <w:t xml:space="preserve">used </w:t>
      </w:r>
      <w:r w:rsidRPr="00923391">
        <w:rPr>
          <w:lang w:val="en-GB"/>
        </w:rPr>
        <w:t xml:space="preserve">and assumptions </w:t>
      </w:r>
      <w:r>
        <w:rPr>
          <w:lang w:val="en-GB"/>
        </w:rPr>
        <w:t xml:space="preserve">made </w:t>
      </w:r>
      <w:r w:rsidRPr="00923391">
        <w:rPr>
          <w:lang w:val="en-GB"/>
        </w:rPr>
        <w:t>for the life cycle inventory of PB and ULPB from cradle-to-grave.</w:t>
      </w:r>
    </w:p>
    <w:tbl>
      <w:tblPr>
        <w:tblStyle w:val="TableGrid"/>
        <w:tblW w:w="5000" w:type="pct"/>
        <w:tblLook w:val="04A0" w:firstRow="1" w:lastRow="0" w:firstColumn="1" w:lastColumn="0" w:noHBand="0" w:noVBand="1"/>
      </w:tblPr>
      <w:tblGrid>
        <w:gridCol w:w="2603"/>
        <w:gridCol w:w="1978"/>
        <w:gridCol w:w="4707"/>
      </w:tblGrid>
      <w:tr w:rsidR="000F72CD" w:rsidRPr="00923391" w:rsidTr="000F72CD">
        <w:tc>
          <w:tcPr>
            <w:tcW w:w="1401" w:type="pct"/>
          </w:tcPr>
          <w:p w:rsidR="000F72CD" w:rsidRPr="00923391" w:rsidRDefault="000F72CD" w:rsidP="00E73183">
            <w:pPr>
              <w:jc w:val="both"/>
              <w:rPr>
                <w:sz w:val="20"/>
                <w:szCs w:val="20"/>
                <w:lang w:val="en-GB"/>
              </w:rPr>
            </w:pPr>
            <w:r w:rsidRPr="00923391">
              <w:rPr>
                <w:sz w:val="20"/>
                <w:szCs w:val="20"/>
                <w:lang w:val="en-GB"/>
              </w:rPr>
              <w:t>Stage</w:t>
            </w:r>
          </w:p>
        </w:tc>
        <w:tc>
          <w:tcPr>
            <w:tcW w:w="1065" w:type="pct"/>
          </w:tcPr>
          <w:p w:rsidR="000F72CD" w:rsidRPr="00923391" w:rsidRDefault="000F72CD" w:rsidP="00E73183">
            <w:pPr>
              <w:jc w:val="both"/>
              <w:rPr>
                <w:sz w:val="20"/>
                <w:szCs w:val="20"/>
                <w:lang w:val="en-GB"/>
              </w:rPr>
            </w:pPr>
            <w:r w:rsidRPr="00923391">
              <w:rPr>
                <w:sz w:val="20"/>
                <w:szCs w:val="20"/>
                <w:lang w:val="en-GB"/>
              </w:rPr>
              <w:t>Data Source</w:t>
            </w:r>
          </w:p>
        </w:tc>
        <w:tc>
          <w:tcPr>
            <w:tcW w:w="2534" w:type="pct"/>
          </w:tcPr>
          <w:p w:rsidR="000F72CD" w:rsidRPr="00923391" w:rsidRDefault="000F72CD" w:rsidP="00E73183">
            <w:pPr>
              <w:jc w:val="both"/>
              <w:rPr>
                <w:sz w:val="20"/>
                <w:szCs w:val="20"/>
                <w:lang w:val="en-GB"/>
              </w:rPr>
            </w:pPr>
            <w:r w:rsidRPr="00923391">
              <w:rPr>
                <w:sz w:val="20"/>
                <w:szCs w:val="20"/>
                <w:lang w:val="en-GB"/>
              </w:rPr>
              <w:t>Environmental aspects</w:t>
            </w:r>
          </w:p>
        </w:tc>
      </w:tr>
      <w:tr w:rsidR="000F72CD" w:rsidRPr="00C56DCC" w:rsidTr="000F72CD">
        <w:tc>
          <w:tcPr>
            <w:tcW w:w="1401" w:type="pct"/>
          </w:tcPr>
          <w:p w:rsidR="000F72CD" w:rsidRPr="00923391" w:rsidRDefault="000F72CD" w:rsidP="00E73183">
            <w:pPr>
              <w:jc w:val="both"/>
              <w:rPr>
                <w:sz w:val="20"/>
                <w:szCs w:val="20"/>
                <w:lang w:val="en-GB"/>
              </w:rPr>
            </w:pPr>
            <w:r w:rsidRPr="00EA6E6D">
              <w:rPr>
                <w:sz w:val="20"/>
                <w:szCs w:val="20"/>
                <w:lang w:val="en-GB"/>
              </w:rPr>
              <w:t>The product is supposed to be produced in Switzerland</w:t>
            </w:r>
          </w:p>
        </w:tc>
        <w:tc>
          <w:tcPr>
            <w:tcW w:w="1065" w:type="pct"/>
          </w:tcPr>
          <w:p w:rsidR="000F72CD" w:rsidRPr="00923391" w:rsidRDefault="000F72CD" w:rsidP="00E73183">
            <w:pPr>
              <w:jc w:val="both"/>
              <w:rPr>
                <w:sz w:val="20"/>
                <w:szCs w:val="20"/>
                <w:lang w:val="en-GB"/>
              </w:rPr>
            </w:pPr>
            <w:r>
              <w:rPr>
                <w:sz w:val="20"/>
                <w:szCs w:val="20"/>
                <w:lang w:val="en-GB"/>
              </w:rPr>
              <w:t>Assumption</w:t>
            </w:r>
          </w:p>
        </w:tc>
        <w:tc>
          <w:tcPr>
            <w:tcW w:w="2534" w:type="pct"/>
          </w:tcPr>
          <w:p w:rsidR="000F72CD" w:rsidRPr="00923391" w:rsidRDefault="000F72CD" w:rsidP="00E73183">
            <w:pPr>
              <w:jc w:val="both"/>
              <w:rPr>
                <w:sz w:val="20"/>
                <w:szCs w:val="20"/>
                <w:lang w:val="en-GB"/>
              </w:rPr>
            </w:pPr>
            <w:r>
              <w:rPr>
                <w:sz w:val="20"/>
                <w:szCs w:val="20"/>
                <w:lang w:val="en-GB"/>
              </w:rPr>
              <w:t>Swiss electricity mix is taken</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Transport of the additives for co-extrusion to the foam precursor manufacturing plant (A1 module)</w:t>
            </w:r>
          </w:p>
        </w:tc>
        <w:tc>
          <w:tcPr>
            <w:tcW w:w="1065" w:type="pct"/>
          </w:tcPr>
          <w:p w:rsidR="000F72CD" w:rsidRPr="00923391" w:rsidRDefault="000F72CD" w:rsidP="00E73183">
            <w:pPr>
              <w:jc w:val="both"/>
              <w:rPr>
                <w:sz w:val="20"/>
                <w:szCs w:val="20"/>
                <w:lang w:val="en-GB"/>
              </w:rPr>
            </w:pPr>
            <w:r w:rsidRPr="00923391">
              <w:rPr>
                <w:sz w:val="20"/>
                <w:szCs w:val="20"/>
                <w:lang w:val="en-GB"/>
              </w:rPr>
              <w:t>Assumption</w:t>
            </w:r>
          </w:p>
        </w:tc>
        <w:tc>
          <w:tcPr>
            <w:tcW w:w="2534" w:type="pct"/>
          </w:tcPr>
          <w:p w:rsidR="000F72CD" w:rsidRPr="00923391" w:rsidRDefault="000F72CD" w:rsidP="00E73183">
            <w:pPr>
              <w:jc w:val="both"/>
              <w:rPr>
                <w:sz w:val="20"/>
                <w:szCs w:val="20"/>
                <w:lang w:val="en-GB"/>
              </w:rPr>
            </w:pPr>
            <w:r w:rsidRPr="00923391">
              <w:rPr>
                <w:sz w:val="20"/>
                <w:szCs w:val="20"/>
                <w:lang w:val="en-GB"/>
              </w:rPr>
              <w:t>Negligible (less than 0,004% of the total mass of the ULPB)</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Transport of the glue component to the manufacturing plant (A2 module)</w:t>
            </w:r>
          </w:p>
        </w:tc>
        <w:tc>
          <w:tcPr>
            <w:tcW w:w="1065" w:type="pct"/>
          </w:tcPr>
          <w:p w:rsidR="000F72CD" w:rsidRPr="00923391" w:rsidRDefault="000F72CD" w:rsidP="00E73183">
            <w:pPr>
              <w:jc w:val="both"/>
              <w:rPr>
                <w:sz w:val="20"/>
                <w:szCs w:val="20"/>
                <w:lang w:val="en-GB"/>
              </w:rPr>
            </w:pPr>
            <w:r w:rsidRPr="00923391">
              <w:rPr>
                <w:sz w:val="20"/>
                <w:szCs w:val="20"/>
                <w:lang w:val="en-GB"/>
              </w:rPr>
              <w:t>Assumption</w:t>
            </w:r>
          </w:p>
        </w:tc>
        <w:tc>
          <w:tcPr>
            <w:tcW w:w="2534" w:type="pct"/>
          </w:tcPr>
          <w:p w:rsidR="000F72CD" w:rsidRPr="00923391" w:rsidRDefault="000F72CD" w:rsidP="00E73183">
            <w:pPr>
              <w:jc w:val="both"/>
              <w:rPr>
                <w:sz w:val="20"/>
                <w:szCs w:val="20"/>
                <w:lang w:val="en-GB"/>
              </w:rPr>
            </w:pPr>
            <w:r w:rsidRPr="00923391">
              <w:rPr>
                <w:sz w:val="20"/>
                <w:szCs w:val="20"/>
                <w:lang w:val="en-GB"/>
              </w:rPr>
              <w:t>Glue components (Urea Formaldehyde resin, hydrochloric acid, ammonium sulphate and ammonia) and paraffin are produced in Germany (Ludwigshafen area) and delivered at the plant in Zürich area (300 km by train and 40 km by truck)</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Transport of the coextruded foam precursor to the manufacturing plant (A2 module)</w:t>
            </w:r>
          </w:p>
        </w:tc>
        <w:tc>
          <w:tcPr>
            <w:tcW w:w="1065" w:type="pct"/>
          </w:tcPr>
          <w:p w:rsidR="000F72CD" w:rsidRPr="00923391" w:rsidRDefault="000F72CD" w:rsidP="00E73183">
            <w:pPr>
              <w:jc w:val="both"/>
              <w:rPr>
                <w:sz w:val="20"/>
                <w:szCs w:val="20"/>
                <w:lang w:val="en-GB"/>
              </w:rPr>
            </w:pPr>
            <w:r w:rsidRPr="00923391">
              <w:rPr>
                <w:sz w:val="20"/>
                <w:szCs w:val="20"/>
                <w:lang w:val="en-GB"/>
              </w:rPr>
              <w:t>Assumption</w:t>
            </w:r>
          </w:p>
          <w:p w:rsidR="000F72CD" w:rsidRPr="00923391" w:rsidRDefault="000F72CD" w:rsidP="00E73183">
            <w:pPr>
              <w:jc w:val="both"/>
              <w:rPr>
                <w:sz w:val="20"/>
                <w:szCs w:val="20"/>
                <w:lang w:val="en-GB"/>
              </w:rPr>
            </w:pPr>
          </w:p>
        </w:tc>
        <w:tc>
          <w:tcPr>
            <w:tcW w:w="2534" w:type="pct"/>
          </w:tcPr>
          <w:p w:rsidR="000F72CD" w:rsidRPr="00923391" w:rsidRDefault="000F72CD" w:rsidP="00E73183">
            <w:pPr>
              <w:jc w:val="both"/>
              <w:rPr>
                <w:sz w:val="20"/>
                <w:szCs w:val="20"/>
                <w:lang w:val="en-GB"/>
              </w:rPr>
            </w:pPr>
            <w:r w:rsidRPr="00923391">
              <w:rPr>
                <w:sz w:val="20"/>
                <w:szCs w:val="20"/>
                <w:lang w:val="en-GB"/>
              </w:rPr>
              <w:t>Foam precursors (co-extruded polymer, PMMA, PLA and EPS) are produced in Germany (Frankfurt area) and delivered at the plant in Zürich area (300 km by train and 90 km by truck)</w:t>
            </w:r>
          </w:p>
        </w:tc>
      </w:tr>
      <w:tr w:rsidR="000F72CD" w:rsidRPr="00923391" w:rsidTr="000F72CD">
        <w:tc>
          <w:tcPr>
            <w:tcW w:w="1401" w:type="pct"/>
          </w:tcPr>
          <w:p w:rsidR="000F72CD" w:rsidRPr="00923391" w:rsidRDefault="000F72CD" w:rsidP="00E73183">
            <w:pPr>
              <w:jc w:val="both"/>
              <w:rPr>
                <w:sz w:val="20"/>
                <w:szCs w:val="20"/>
                <w:lang w:val="en-GB"/>
              </w:rPr>
            </w:pPr>
            <w:r w:rsidRPr="00923391">
              <w:rPr>
                <w:sz w:val="20"/>
                <w:szCs w:val="20"/>
                <w:lang w:val="en-GB"/>
              </w:rPr>
              <w:t>Transport of the liquid CO</w:t>
            </w:r>
            <w:r w:rsidRPr="00923391">
              <w:rPr>
                <w:sz w:val="20"/>
                <w:szCs w:val="20"/>
                <w:vertAlign w:val="subscript"/>
                <w:lang w:val="en-GB"/>
              </w:rPr>
              <w:t>2</w:t>
            </w:r>
            <w:r w:rsidRPr="00923391">
              <w:rPr>
                <w:sz w:val="20"/>
                <w:szCs w:val="20"/>
                <w:lang w:val="en-GB"/>
              </w:rPr>
              <w:t xml:space="preserve"> to the manufacturing plant (A2 module)</w:t>
            </w:r>
          </w:p>
        </w:tc>
        <w:tc>
          <w:tcPr>
            <w:tcW w:w="1065" w:type="pct"/>
          </w:tcPr>
          <w:p w:rsidR="000F72CD" w:rsidRPr="00923391" w:rsidRDefault="000F72CD" w:rsidP="00E73183">
            <w:pPr>
              <w:jc w:val="both"/>
              <w:rPr>
                <w:sz w:val="20"/>
                <w:szCs w:val="20"/>
                <w:lang w:val="en-GB"/>
              </w:rPr>
            </w:pPr>
            <w:r w:rsidRPr="00923391">
              <w:rPr>
                <w:sz w:val="20"/>
                <w:szCs w:val="20"/>
                <w:lang w:val="en-GB"/>
              </w:rPr>
              <w:t>Assumption</w:t>
            </w:r>
          </w:p>
        </w:tc>
        <w:tc>
          <w:tcPr>
            <w:tcW w:w="2534" w:type="pct"/>
          </w:tcPr>
          <w:p w:rsidR="000F72CD" w:rsidRPr="00923391" w:rsidRDefault="000F72CD" w:rsidP="00E73183">
            <w:pPr>
              <w:jc w:val="both"/>
              <w:rPr>
                <w:sz w:val="20"/>
                <w:szCs w:val="20"/>
                <w:lang w:val="en-GB"/>
              </w:rPr>
            </w:pPr>
            <w:r w:rsidRPr="00923391">
              <w:rPr>
                <w:sz w:val="20"/>
                <w:szCs w:val="20"/>
                <w:lang w:val="en-GB"/>
              </w:rPr>
              <w:t>Negligible</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Manufacturing of 1 m</w:t>
            </w:r>
            <w:r w:rsidRPr="00923391">
              <w:rPr>
                <w:sz w:val="20"/>
                <w:szCs w:val="20"/>
                <w:vertAlign w:val="superscript"/>
                <w:lang w:val="en-GB"/>
              </w:rPr>
              <w:t>3</w:t>
            </w:r>
            <w:r w:rsidRPr="00923391">
              <w:rPr>
                <w:sz w:val="20"/>
                <w:szCs w:val="20"/>
                <w:lang w:val="en-GB"/>
              </w:rPr>
              <w:t xml:space="preserve"> PB  (A1 to A3 modules)</w:t>
            </w:r>
          </w:p>
        </w:tc>
        <w:tc>
          <w:tcPr>
            <w:tcW w:w="1065" w:type="pct"/>
          </w:tcPr>
          <w:p w:rsidR="000F72CD" w:rsidRPr="00923391" w:rsidRDefault="000F72CD" w:rsidP="00E73183">
            <w:pPr>
              <w:jc w:val="both"/>
              <w:rPr>
                <w:sz w:val="20"/>
                <w:szCs w:val="20"/>
                <w:lang w:val="en-GB"/>
              </w:rPr>
            </w:pPr>
            <w:proofErr w:type="spellStart"/>
            <w:r w:rsidRPr="00923391">
              <w:rPr>
                <w:sz w:val="20"/>
                <w:szCs w:val="20"/>
                <w:lang w:val="en-GB"/>
              </w:rPr>
              <w:t>Ecoinvent</w:t>
            </w:r>
            <w:proofErr w:type="spellEnd"/>
            <w:r w:rsidRPr="00923391">
              <w:rPr>
                <w:sz w:val="20"/>
                <w:szCs w:val="20"/>
                <w:lang w:val="en-GB"/>
              </w:rPr>
              <w:t xml:space="preserve"> v2.2</w:t>
            </w:r>
          </w:p>
        </w:tc>
        <w:tc>
          <w:tcPr>
            <w:tcW w:w="2534" w:type="pct"/>
          </w:tcPr>
          <w:p w:rsidR="000F72CD" w:rsidRPr="00923391" w:rsidRDefault="000F72CD" w:rsidP="00E73183">
            <w:pPr>
              <w:jc w:val="both"/>
              <w:rPr>
                <w:sz w:val="20"/>
                <w:szCs w:val="20"/>
                <w:lang w:val="en-GB"/>
              </w:rPr>
            </w:pPr>
            <w:proofErr w:type="spellStart"/>
            <w:r w:rsidRPr="00923391">
              <w:rPr>
                <w:sz w:val="20"/>
                <w:szCs w:val="20"/>
                <w:lang w:val="en-GB"/>
              </w:rPr>
              <w:t>Ecoinvent</w:t>
            </w:r>
            <w:proofErr w:type="spellEnd"/>
            <w:r w:rsidRPr="00923391">
              <w:rPr>
                <w:sz w:val="20"/>
                <w:szCs w:val="20"/>
                <w:lang w:val="en-GB"/>
              </w:rPr>
              <w:t xml:space="preserve"> v2.2 process “Particleboard Indoor use”</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Manufacturing of 1 m</w:t>
            </w:r>
            <w:r w:rsidRPr="00923391">
              <w:rPr>
                <w:sz w:val="20"/>
                <w:szCs w:val="20"/>
                <w:vertAlign w:val="superscript"/>
                <w:lang w:val="en-GB"/>
              </w:rPr>
              <w:t>3</w:t>
            </w:r>
            <w:r w:rsidRPr="00923391">
              <w:rPr>
                <w:sz w:val="20"/>
                <w:szCs w:val="20"/>
                <w:lang w:val="en-GB"/>
              </w:rPr>
              <w:t xml:space="preserve"> ULPB (A1 to A3 modules)</w:t>
            </w:r>
          </w:p>
        </w:tc>
        <w:tc>
          <w:tcPr>
            <w:tcW w:w="1065" w:type="pct"/>
          </w:tcPr>
          <w:p w:rsidR="000F72CD" w:rsidRPr="00923391" w:rsidRDefault="000F72CD" w:rsidP="00E73183">
            <w:pPr>
              <w:jc w:val="both"/>
              <w:rPr>
                <w:sz w:val="20"/>
                <w:szCs w:val="20"/>
                <w:lang w:val="en-GB"/>
              </w:rPr>
            </w:pPr>
            <w:proofErr w:type="spellStart"/>
            <w:r w:rsidRPr="00923391">
              <w:rPr>
                <w:sz w:val="20"/>
                <w:szCs w:val="20"/>
                <w:lang w:val="en-GB"/>
              </w:rPr>
              <w:t>Ecoinvent</w:t>
            </w:r>
            <w:proofErr w:type="spellEnd"/>
            <w:r w:rsidRPr="00923391">
              <w:rPr>
                <w:sz w:val="20"/>
                <w:szCs w:val="20"/>
                <w:lang w:val="en-GB"/>
              </w:rPr>
              <w:t xml:space="preserve"> v2.2, Laboratory data</w:t>
            </w:r>
          </w:p>
        </w:tc>
        <w:tc>
          <w:tcPr>
            <w:tcW w:w="2534" w:type="pct"/>
          </w:tcPr>
          <w:p w:rsidR="000F72CD" w:rsidRPr="00923391" w:rsidRDefault="000F72CD" w:rsidP="00E73183">
            <w:pPr>
              <w:jc w:val="both"/>
              <w:rPr>
                <w:sz w:val="20"/>
                <w:szCs w:val="20"/>
                <w:lang w:val="en-GB"/>
              </w:rPr>
            </w:pPr>
            <w:r w:rsidRPr="00923391">
              <w:rPr>
                <w:sz w:val="20"/>
                <w:szCs w:val="20"/>
                <w:lang w:val="en-GB"/>
              </w:rPr>
              <w:t>Same production capacity as for PB production (600 000 m</w:t>
            </w:r>
            <w:r w:rsidRPr="00923391">
              <w:rPr>
                <w:sz w:val="20"/>
                <w:szCs w:val="20"/>
                <w:vertAlign w:val="superscript"/>
                <w:lang w:val="en-GB"/>
              </w:rPr>
              <w:t>3</w:t>
            </w:r>
            <w:r w:rsidRPr="00923391">
              <w:rPr>
                <w:sz w:val="20"/>
                <w:szCs w:val="20"/>
                <w:lang w:val="en-GB"/>
              </w:rPr>
              <w:t>/year)</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Co-extrusion of polymers and additives (A3 module)</w:t>
            </w:r>
          </w:p>
        </w:tc>
        <w:tc>
          <w:tcPr>
            <w:tcW w:w="1065" w:type="pct"/>
          </w:tcPr>
          <w:p w:rsidR="000F72CD" w:rsidRPr="00923391" w:rsidRDefault="000F72CD" w:rsidP="00E73183">
            <w:pPr>
              <w:jc w:val="both"/>
              <w:rPr>
                <w:sz w:val="20"/>
                <w:szCs w:val="20"/>
                <w:lang w:val="en-GB"/>
              </w:rPr>
            </w:pPr>
            <w:r w:rsidRPr="00923391">
              <w:rPr>
                <w:sz w:val="20"/>
                <w:szCs w:val="20"/>
                <w:lang w:val="en-GB"/>
              </w:rPr>
              <w:t xml:space="preserve">Assumption,   </w:t>
            </w:r>
            <w:proofErr w:type="spellStart"/>
            <w:r w:rsidRPr="00923391">
              <w:rPr>
                <w:sz w:val="20"/>
                <w:szCs w:val="20"/>
                <w:lang w:val="en-GB"/>
              </w:rPr>
              <w:t>Ecoinvent</w:t>
            </w:r>
            <w:proofErr w:type="spellEnd"/>
            <w:r w:rsidRPr="00923391">
              <w:rPr>
                <w:sz w:val="20"/>
                <w:szCs w:val="20"/>
                <w:lang w:val="en-GB"/>
              </w:rPr>
              <w:t xml:space="preserve"> v2.2</w:t>
            </w:r>
          </w:p>
        </w:tc>
        <w:tc>
          <w:tcPr>
            <w:tcW w:w="2534" w:type="pct"/>
          </w:tcPr>
          <w:p w:rsidR="000F72CD" w:rsidRPr="00923391" w:rsidRDefault="000F72CD" w:rsidP="00E73183">
            <w:pPr>
              <w:jc w:val="both"/>
              <w:rPr>
                <w:sz w:val="20"/>
                <w:szCs w:val="20"/>
                <w:lang w:val="en-GB"/>
              </w:rPr>
            </w:pPr>
            <w:r w:rsidRPr="00923391">
              <w:rPr>
                <w:sz w:val="20"/>
                <w:szCs w:val="20"/>
                <w:lang w:val="en-GB"/>
              </w:rPr>
              <w:t xml:space="preserve">The co-extrusion of polymer is considered to be similar to the eco-invent </w:t>
            </w:r>
            <w:proofErr w:type="gramStart"/>
            <w:r w:rsidRPr="00923391">
              <w:rPr>
                <w:sz w:val="20"/>
                <w:szCs w:val="20"/>
                <w:lang w:val="en-GB"/>
              </w:rPr>
              <w:t>v2.2  process</w:t>
            </w:r>
            <w:proofErr w:type="gramEnd"/>
            <w:r w:rsidRPr="00923391">
              <w:rPr>
                <w:sz w:val="20"/>
                <w:szCs w:val="20"/>
                <w:lang w:val="en-GB"/>
              </w:rPr>
              <w:t xml:space="preserve"> “extrusion, plastic pipes” and happen at the polymer manufacturing place.</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CO</w:t>
            </w:r>
            <w:r w:rsidRPr="00923391">
              <w:rPr>
                <w:sz w:val="20"/>
                <w:szCs w:val="20"/>
                <w:vertAlign w:val="subscript"/>
                <w:lang w:val="en-GB"/>
              </w:rPr>
              <w:t>2</w:t>
            </w:r>
            <w:r w:rsidRPr="00923391">
              <w:rPr>
                <w:sz w:val="20"/>
                <w:szCs w:val="20"/>
                <w:lang w:val="en-GB"/>
              </w:rPr>
              <w:t xml:space="preserve"> Batch impregnation (A3 module)</w:t>
            </w:r>
          </w:p>
        </w:tc>
        <w:tc>
          <w:tcPr>
            <w:tcW w:w="1065" w:type="pct"/>
          </w:tcPr>
          <w:p w:rsidR="000F72CD" w:rsidRPr="00923391" w:rsidRDefault="000F72CD" w:rsidP="00E73183">
            <w:pPr>
              <w:jc w:val="both"/>
              <w:rPr>
                <w:sz w:val="20"/>
                <w:szCs w:val="20"/>
                <w:lang w:val="en-GB"/>
              </w:rPr>
            </w:pPr>
            <w:r w:rsidRPr="00923391">
              <w:rPr>
                <w:sz w:val="20"/>
                <w:szCs w:val="20"/>
                <w:lang w:val="en-GB"/>
              </w:rPr>
              <w:t xml:space="preserve">Assumption,   </w:t>
            </w:r>
            <w:proofErr w:type="spellStart"/>
            <w:r w:rsidRPr="00923391">
              <w:rPr>
                <w:sz w:val="20"/>
                <w:szCs w:val="20"/>
                <w:lang w:val="en-GB"/>
              </w:rPr>
              <w:t>Ecoinvent</w:t>
            </w:r>
            <w:proofErr w:type="spellEnd"/>
            <w:r w:rsidRPr="00923391">
              <w:rPr>
                <w:sz w:val="20"/>
                <w:szCs w:val="20"/>
                <w:lang w:val="en-GB"/>
              </w:rPr>
              <w:t xml:space="preserve"> v2.2</w:t>
            </w:r>
          </w:p>
        </w:tc>
        <w:tc>
          <w:tcPr>
            <w:tcW w:w="2534" w:type="pct"/>
          </w:tcPr>
          <w:p w:rsidR="000F72CD" w:rsidRPr="00923391" w:rsidRDefault="000F72CD" w:rsidP="00E73183">
            <w:pPr>
              <w:jc w:val="both"/>
              <w:rPr>
                <w:sz w:val="20"/>
                <w:szCs w:val="20"/>
                <w:lang w:val="en-GB"/>
              </w:rPr>
            </w:pPr>
            <w:r w:rsidRPr="00923391">
              <w:rPr>
                <w:sz w:val="20"/>
                <w:szCs w:val="20"/>
                <w:lang w:val="en-GB"/>
              </w:rPr>
              <w:t>The CO</w:t>
            </w:r>
            <w:r w:rsidRPr="00923391">
              <w:rPr>
                <w:sz w:val="20"/>
                <w:szCs w:val="20"/>
                <w:vertAlign w:val="subscript"/>
                <w:lang w:val="en-GB"/>
              </w:rPr>
              <w:t>2</w:t>
            </w:r>
            <w:r w:rsidRPr="00923391">
              <w:rPr>
                <w:sz w:val="20"/>
                <w:szCs w:val="20"/>
                <w:lang w:val="en-GB"/>
              </w:rPr>
              <w:t xml:space="preserve"> liquid impregnation is assumed to be done in a classical chemical batch reactor and stored cool in a 100kW absorption chiller before it is dispersed as core layer on the first sheet of surface layer. The electrical consumption for the batch impregnation of the foam precursor with liquid CO</w:t>
            </w:r>
            <w:r w:rsidRPr="00923391">
              <w:rPr>
                <w:sz w:val="20"/>
                <w:szCs w:val="20"/>
                <w:vertAlign w:val="subscript"/>
                <w:lang w:val="en-GB"/>
              </w:rPr>
              <w:t>2</w:t>
            </w:r>
            <w:r w:rsidRPr="00923391">
              <w:rPr>
                <w:sz w:val="20"/>
                <w:szCs w:val="20"/>
                <w:lang w:val="en-GB"/>
              </w:rPr>
              <w:t xml:space="preserve"> in a reactor is unknown at the moment and not considered in the calculation.</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ULPB Pressing (A3 module)</w:t>
            </w:r>
          </w:p>
        </w:tc>
        <w:tc>
          <w:tcPr>
            <w:tcW w:w="1065" w:type="pct"/>
          </w:tcPr>
          <w:p w:rsidR="000F72CD" w:rsidRPr="00923391" w:rsidRDefault="000F72CD" w:rsidP="00E73183">
            <w:pPr>
              <w:jc w:val="both"/>
              <w:rPr>
                <w:sz w:val="20"/>
                <w:szCs w:val="20"/>
                <w:lang w:val="en-GB"/>
              </w:rPr>
            </w:pPr>
            <w:r w:rsidRPr="00923391">
              <w:rPr>
                <w:sz w:val="20"/>
                <w:szCs w:val="20"/>
                <w:lang w:val="en-GB"/>
              </w:rPr>
              <w:t>Assumption</w:t>
            </w:r>
          </w:p>
        </w:tc>
        <w:tc>
          <w:tcPr>
            <w:tcW w:w="2534" w:type="pct"/>
          </w:tcPr>
          <w:p w:rsidR="000F72CD" w:rsidRPr="00923391" w:rsidRDefault="000F72CD" w:rsidP="00E73183">
            <w:pPr>
              <w:jc w:val="both"/>
              <w:rPr>
                <w:sz w:val="20"/>
                <w:szCs w:val="20"/>
                <w:lang w:val="en-GB"/>
              </w:rPr>
            </w:pPr>
            <w:r w:rsidRPr="00923391">
              <w:rPr>
                <w:sz w:val="20"/>
                <w:szCs w:val="20"/>
                <w:lang w:val="en-GB"/>
              </w:rPr>
              <w:t>The energy consumption is the same for pressing a ULPB or a PB (the cooling energy consumption for ULPB pressing is, in the worst case, equal to the difference of heat energy consumption between ULPB and PB pressing)</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ULPB Pressing (A3 module)</w:t>
            </w:r>
          </w:p>
        </w:tc>
        <w:tc>
          <w:tcPr>
            <w:tcW w:w="1065" w:type="pct"/>
          </w:tcPr>
          <w:p w:rsidR="000F72CD" w:rsidRPr="00923391" w:rsidRDefault="000F72CD" w:rsidP="00E73183">
            <w:pPr>
              <w:jc w:val="both"/>
              <w:rPr>
                <w:sz w:val="20"/>
                <w:szCs w:val="20"/>
                <w:lang w:val="en-GB"/>
              </w:rPr>
            </w:pPr>
            <w:r w:rsidRPr="00923391">
              <w:rPr>
                <w:sz w:val="20"/>
                <w:szCs w:val="20"/>
                <w:lang w:val="en-GB"/>
              </w:rPr>
              <w:t>Assumption</w:t>
            </w:r>
          </w:p>
        </w:tc>
        <w:tc>
          <w:tcPr>
            <w:tcW w:w="2534" w:type="pct"/>
          </w:tcPr>
          <w:p w:rsidR="000F72CD" w:rsidRPr="00923391" w:rsidRDefault="000F72CD" w:rsidP="00E73183">
            <w:pPr>
              <w:jc w:val="both"/>
              <w:rPr>
                <w:sz w:val="20"/>
                <w:szCs w:val="20"/>
                <w:lang w:val="en-GB"/>
              </w:rPr>
            </w:pPr>
            <w:r w:rsidRPr="00923391">
              <w:rPr>
                <w:sz w:val="20"/>
                <w:szCs w:val="20"/>
                <w:lang w:val="en-GB"/>
              </w:rPr>
              <w:t>The total blowing agent emissions to the environment (CO</w:t>
            </w:r>
            <w:r w:rsidRPr="00923391">
              <w:rPr>
                <w:sz w:val="20"/>
                <w:szCs w:val="20"/>
                <w:vertAlign w:val="subscript"/>
                <w:lang w:val="en-GB"/>
              </w:rPr>
              <w:t>2</w:t>
            </w:r>
            <w:r w:rsidRPr="00923391">
              <w:rPr>
                <w:sz w:val="20"/>
                <w:szCs w:val="20"/>
                <w:lang w:val="en-GB"/>
              </w:rPr>
              <w:t xml:space="preserve"> or pentane) are attributed to the pressing stage</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Transport from the plant to the furniture manufacturer (A4 module)</w:t>
            </w:r>
          </w:p>
        </w:tc>
        <w:tc>
          <w:tcPr>
            <w:tcW w:w="1065" w:type="pct"/>
          </w:tcPr>
          <w:p w:rsidR="000F72CD" w:rsidRPr="00923391" w:rsidRDefault="000F72CD" w:rsidP="00E73183">
            <w:pPr>
              <w:jc w:val="both"/>
              <w:rPr>
                <w:sz w:val="20"/>
                <w:szCs w:val="20"/>
                <w:lang w:val="en-GB"/>
              </w:rPr>
            </w:pPr>
            <w:r w:rsidRPr="00923391">
              <w:rPr>
                <w:sz w:val="20"/>
                <w:szCs w:val="20"/>
                <w:lang w:val="en-GB"/>
              </w:rPr>
              <w:t>Assumption</w:t>
            </w:r>
          </w:p>
        </w:tc>
        <w:tc>
          <w:tcPr>
            <w:tcW w:w="2534" w:type="pct"/>
          </w:tcPr>
          <w:p w:rsidR="000F72CD" w:rsidRPr="00923391" w:rsidRDefault="000F72CD" w:rsidP="00E73183">
            <w:pPr>
              <w:jc w:val="both"/>
              <w:rPr>
                <w:sz w:val="20"/>
                <w:szCs w:val="20"/>
                <w:lang w:val="en-GB"/>
              </w:rPr>
            </w:pPr>
            <w:r w:rsidRPr="00923391">
              <w:rPr>
                <w:sz w:val="20"/>
                <w:szCs w:val="20"/>
                <w:lang w:val="en-GB"/>
              </w:rPr>
              <w:t>Panels are transported to a furniture manufacturer on an average distance of 250 km with a truck and then transported from the furniture manufacturer to the user with truck on 100 km in average.</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Transport from user to incineration plant (C2 module)</w:t>
            </w:r>
          </w:p>
        </w:tc>
        <w:tc>
          <w:tcPr>
            <w:tcW w:w="1065" w:type="pct"/>
          </w:tcPr>
          <w:p w:rsidR="000F72CD" w:rsidRPr="00923391" w:rsidRDefault="000F72CD" w:rsidP="00E73183">
            <w:pPr>
              <w:jc w:val="both"/>
              <w:rPr>
                <w:sz w:val="20"/>
                <w:szCs w:val="20"/>
                <w:lang w:val="en-GB"/>
              </w:rPr>
            </w:pPr>
            <w:r w:rsidRPr="00923391">
              <w:rPr>
                <w:sz w:val="20"/>
                <w:szCs w:val="20"/>
                <w:lang w:val="en-GB"/>
              </w:rPr>
              <w:t>Assumption</w:t>
            </w:r>
          </w:p>
        </w:tc>
        <w:tc>
          <w:tcPr>
            <w:tcW w:w="2534" w:type="pct"/>
          </w:tcPr>
          <w:p w:rsidR="000F72CD" w:rsidRPr="00923391" w:rsidRDefault="000F72CD" w:rsidP="00E73183">
            <w:pPr>
              <w:jc w:val="both"/>
              <w:rPr>
                <w:sz w:val="20"/>
                <w:szCs w:val="20"/>
                <w:lang w:val="en-GB"/>
              </w:rPr>
            </w:pPr>
            <w:r w:rsidRPr="00923391">
              <w:rPr>
                <w:sz w:val="20"/>
                <w:szCs w:val="20"/>
                <w:lang w:val="en-GB"/>
              </w:rPr>
              <w:t>Panels are transported from the user to the incineration plant with a municipal waste collection lorry on 20 km in average</w:t>
            </w:r>
          </w:p>
        </w:tc>
      </w:tr>
      <w:tr w:rsidR="000F72CD" w:rsidRPr="00EC4ECD" w:rsidTr="000F72CD">
        <w:tc>
          <w:tcPr>
            <w:tcW w:w="1401" w:type="pct"/>
          </w:tcPr>
          <w:p w:rsidR="000F72CD" w:rsidRPr="00923391" w:rsidRDefault="000F72CD" w:rsidP="00E73183">
            <w:pPr>
              <w:jc w:val="both"/>
              <w:rPr>
                <w:sz w:val="20"/>
                <w:szCs w:val="20"/>
                <w:lang w:val="en-GB"/>
              </w:rPr>
            </w:pPr>
            <w:r w:rsidRPr="00EA6E6D">
              <w:rPr>
                <w:sz w:val="20"/>
                <w:szCs w:val="20"/>
                <w:lang w:val="en-GB"/>
              </w:rPr>
              <w:t>The end-of-life scenario considered is the incineration in a Swiss municipal plant (most realistic scenario)</w:t>
            </w:r>
          </w:p>
        </w:tc>
        <w:tc>
          <w:tcPr>
            <w:tcW w:w="1065" w:type="pct"/>
          </w:tcPr>
          <w:p w:rsidR="000F72CD" w:rsidRPr="00923391" w:rsidRDefault="000F72CD" w:rsidP="00E73183">
            <w:pPr>
              <w:jc w:val="both"/>
              <w:rPr>
                <w:sz w:val="20"/>
                <w:szCs w:val="20"/>
                <w:lang w:val="en-GB"/>
              </w:rPr>
            </w:pPr>
            <w:r>
              <w:rPr>
                <w:sz w:val="20"/>
                <w:szCs w:val="20"/>
                <w:lang w:val="en-GB"/>
              </w:rPr>
              <w:t>Assumption</w:t>
            </w:r>
          </w:p>
        </w:tc>
        <w:tc>
          <w:tcPr>
            <w:tcW w:w="2534" w:type="pct"/>
          </w:tcPr>
          <w:p w:rsidR="000F72CD" w:rsidRPr="00923391" w:rsidRDefault="000F72CD" w:rsidP="00E73183">
            <w:pPr>
              <w:jc w:val="both"/>
              <w:rPr>
                <w:sz w:val="20"/>
                <w:szCs w:val="20"/>
                <w:lang w:val="en-GB"/>
              </w:rPr>
            </w:pPr>
            <w:r>
              <w:rPr>
                <w:sz w:val="20"/>
                <w:szCs w:val="20"/>
                <w:lang w:val="en-GB"/>
              </w:rPr>
              <w:t>See Text</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Disposal of PB (C4 module)</w:t>
            </w:r>
          </w:p>
        </w:tc>
        <w:tc>
          <w:tcPr>
            <w:tcW w:w="1065" w:type="pct"/>
          </w:tcPr>
          <w:p w:rsidR="000F72CD" w:rsidRPr="00923391" w:rsidRDefault="000F72CD" w:rsidP="00E73183">
            <w:pPr>
              <w:jc w:val="both"/>
              <w:rPr>
                <w:sz w:val="20"/>
                <w:szCs w:val="20"/>
                <w:lang w:val="en-GB"/>
              </w:rPr>
            </w:pPr>
            <w:r w:rsidRPr="00923391">
              <w:rPr>
                <w:sz w:val="20"/>
                <w:szCs w:val="20"/>
                <w:lang w:val="en-GB"/>
              </w:rPr>
              <w:t xml:space="preserve">Assumption,   </w:t>
            </w:r>
            <w:proofErr w:type="spellStart"/>
            <w:r w:rsidRPr="00923391">
              <w:rPr>
                <w:sz w:val="20"/>
                <w:szCs w:val="20"/>
                <w:lang w:val="en-GB"/>
              </w:rPr>
              <w:lastRenderedPageBreak/>
              <w:t>Ecoinvent</w:t>
            </w:r>
            <w:proofErr w:type="spellEnd"/>
            <w:r w:rsidRPr="00923391">
              <w:rPr>
                <w:sz w:val="20"/>
                <w:szCs w:val="20"/>
                <w:lang w:val="en-GB"/>
              </w:rPr>
              <w:t xml:space="preserve"> v2.2</w:t>
            </w:r>
          </w:p>
        </w:tc>
        <w:tc>
          <w:tcPr>
            <w:tcW w:w="2534" w:type="pct"/>
          </w:tcPr>
          <w:p w:rsidR="000F72CD" w:rsidRPr="00923391" w:rsidRDefault="000F72CD" w:rsidP="00E73183">
            <w:pPr>
              <w:jc w:val="both"/>
              <w:rPr>
                <w:sz w:val="20"/>
                <w:szCs w:val="20"/>
                <w:lang w:val="en-GB"/>
              </w:rPr>
            </w:pPr>
            <w:r w:rsidRPr="00923391">
              <w:rPr>
                <w:sz w:val="20"/>
                <w:szCs w:val="20"/>
                <w:lang w:val="en-GB"/>
              </w:rPr>
              <w:lastRenderedPageBreak/>
              <w:t xml:space="preserve">Disposal of wood particle in the incineration plant </w:t>
            </w:r>
            <w:r w:rsidRPr="00923391">
              <w:rPr>
                <w:sz w:val="20"/>
                <w:szCs w:val="20"/>
                <w:lang w:val="en-GB"/>
              </w:rPr>
              <w:lastRenderedPageBreak/>
              <w:t>has a similar impact to disposal of solid wood (no incineration process for wood particles are available for Swiss municipal incineration plant)</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lastRenderedPageBreak/>
              <w:t>Disposal of UF resin (C4 module)</w:t>
            </w:r>
          </w:p>
        </w:tc>
        <w:tc>
          <w:tcPr>
            <w:tcW w:w="1065" w:type="pct"/>
          </w:tcPr>
          <w:p w:rsidR="000F72CD" w:rsidRPr="00923391" w:rsidRDefault="000F72CD" w:rsidP="00E73183">
            <w:pPr>
              <w:jc w:val="both"/>
              <w:rPr>
                <w:sz w:val="20"/>
                <w:szCs w:val="20"/>
                <w:lang w:val="en-GB"/>
              </w:rPr>
            </w:pPr>
            <w:r w:rsidRPr="00923391">
              <w:rPr>
                <w:sz w:val="20"/>
                <w:szCs w:val="20"/>
                <w:lang w:val="en-GB"/>
              </w:rPr>
              <w:t xml:space="preserve">Assumption,   </w:t>
            </w:r>
            <w:proofErr w:type="spellStart"/>
            <w:r w:rsidRPr="00923391">
              <w:rPr>
                <w:sz w:val="20"/>
                <w:szCs w:val="20"/>
                <w:lang w:val="en-GB"/>
              </w:rPr>
              <w:t>Ecoinvent</w:t>
            </w:r>
            <w:proofErr w:type="spellEnd"/>
            <w:r w:rsidRPr="00923391">
              <w:rPr>
                <w:sz w:val="20"/>
                <w:szCs w:val="20"/>
                <w:lang w:val="en-GB"/>
              </w:rPr>
              <w:t xml:space="preserve"> v2.2</w:t>
            </w:r>
          </w:p>
        </w:tc>
        <w:tc>
          <w:tcPr>
            <w:tcW w:w="2534" w:type="pct"/>
          </w:tcPr>
          <w:p w:rsidR="000F72CD" w:rsidRPr="00923391" w:rsidRDefault="000F72CD" w:rsidP="00E73183">
            <w:pPr>
              <w:jc w:val="both"/>
              <w:rPr>
                <w:sz w:val="20"/>
                <w:szCs w:val="20"/>
                <w:lang w:val="en-GB"/>
              </w:rPr>
            </w:pPr>
            <w:r w:rsidRPr="00923391">
              <w:rPr>
                <w:sz w:val="20"/>
                <w:szCs w:val="20"/>
                <w:lang w:val="en-GB"/>
              </w:rPr>
              <w:t>Disposal of UF resin has a similar impact as the disposal of polyurethane (PU) in Swiss municipal incineration plant with the exception that CO</w:t>
            </w:r>
            <w:r w:rsidRPr="00923391">
              <w:rPr>
                <w:sz w:val="20"/>
                <w:szCs w:val="20"/>
                <w:vertAlign w:val="subscript"/>
                <w:lang w:val="en-GB"/>
              </w:rPr>
              <w:t>2</w:t>
            </w:r>
            <w:r w:rsidRPr="00923391">
              <w:rPr>
                <w:sz w:val="20"/>
                <w:szCs w:val="20"/>
                <w:lang w:val="en-GB"/>
              </w:rPr>
              <w:t xml:space="preserve"> fossil emissions are adapted to the one produced by the total combustion of UF resin (Calculated from the formula: 2(H</w:t>
            </w:r>
            <w:r w:rsidRPr="00923391">
              <w:rPr>
                <w:sz w:val="20"/>
                <w:szCs w:val="20"/>
                <w:vertAlign w:val="subscript"/>
                <w:lang w:val="en-GB"/>
              </w:rPr>
              <w:t>4</w:t>
            </w:r>
            <w:r w:rsidRPr="00923391">
              <w:rPr>
                <w:sz w:val="20"/>
                <w:szCs w:val="20"/>
                <w:lang w:val="en-GB"/>
              </w:rPr>
              <w:t>N</w:t>
            </w:r>
            <w:r w:rsidRPr="00923391">
              <w:rPr>
                <w:sz w:val="20"/>
                <w:szCs w:val="20"/>
                <w:vertAlign w:val="subscript"/>
                <w:lang w:val="en-GB"/>
              </w:rPr>
              <w:t>2</w:t>
            </w:r>
            <w:r w:rsidRPr="00923391">
              <w:rPr>
                <w:sz w:val="20"/>
                <w:szCs w:val="20"/>
                <w:lang w:val="en-GB"/>
              </w:rPr>
              <w:t>C</w:t>
            </w:r>
            <w:r w:rsidRPr="00923391">
              <w:rPr>
                <w:sz w:val="20"/>
                <w:szCs w:val="20"/>
                <w:vertAlign w:val="subscript"/>
                <w:lang w:val="en-GB"/>
              </w:rPr>
              <w:t>2</w:t>
            </w:r>
            <w:r w:rsidRPr="00923391">
              <w:rPr>
                <w:sz w:val="20"/>
                <w:szCs w:val="20"/>
                <w:lang w:val="en-GB"/>
              </w:rPr>
              <w:t>O)+5(O</w:t>
            </w:r>
            <w:r w:rsidRPr="00923391">
              <w:rPr>
                <w:sz w:val="20"/>
                <w:szCs w:val="20"/>
                <w:vertAlign w:val="subscript"/>
                <w:lang w:val="en-GB"/>
              </w:rPr>
              <w:t>2</w:t>
            </w:r>
            <w:r w:rsidRPr="00923391">
              <w:rPr>
                <w:sz w:val="20"/>
                <w:szCs w:val="20"/>
                <w:lang w:val="en-GB"/>
              </w:rPr>
              <w:t>) -&gt; 4(CO</w:t>
            </w:r>
            <w:r w:rsidRPr="00923391">
              <w:rPr>
                <w:sz w:val="20"/>
                <w:szCs w:val="20"/>
                <w:vertAlign w:val="subscript"/>
                <w:lang w:val="en-GB"/>
              </w:rPr>
              <w:t>2</w:t>
            </w:r>
            <w:r w:rsidRPr="00923391">
              <w:rPr>
                <w:sz w:val="20"/>
                <w:szCs w:val="20"/>
                <w:lang w:val="en-GB"/>
              </w:rPr>
              <w:t>)+4(H</w:t>
            </w:r>
            <w:r w:rsidRPr="00923391">
              <w:rPr>
                <w:sz w:val="20"/>
                <w:szCs w:val="20"/>
                <w:vertAlign w:val="subscript"/>
                <w:lang w:val="en-GB"/>
              </w:rPr>
              <w:t>2</w:t>
            </w:r>
            <w:r w:rsidRPr="00923391">
              <w:rPr>
                <w:sz w:val="20"/>
                <w:szCs w:val="20"/>
                <w:lang w:val="en-GB"/>
              </w:rPr>
              <w:t>O)+2(N</w:t>
            </w:r>
            <w:r w:rsidRPr="00923391">
              <w:rPr>
                <w:sz w:val="20"/>
                <w:szCs w:val="20"/>
                <w:vertAlign w:val="subscript"/>
                <w:lang w:val="en-GB"/>
              </w:rPr>
              <w:t>2</w:t>
            </w:r>
            <w:r w:rsidRPr="00923391">
              <w:rPr>
                <w:sz w:val="20"/>
                <w:szCs w:val="20"/>
                <w:lang w:val="en-GB"/>
              </w:rPr>
              <w:t>), 1 kg of UF are 13.88 mole and emit 27.77 mole of CO</w:t>
            </w:r>
            <w:r w:rsidRPr="00923391">
              <w:rPr>
                <w:sz w:val="20"/>
                <w:szCs w:val="20"/>
                <w:vertAlign w:val="subscript"/>
                <w:lang w:val="en-GB"/>
              </w:rPr>
              <w:t>2</w:t>
            </w:r>
            <w:r w:rsidRPr="00923391">
              <w:rPr>
                <w:sz w:val="20"/>
                <w:szCs w:val="20"/>
                <w:lang w:val="en-GB"/>
              </w:rPr>
              <w:t xml:space="preserve"> during combustion which correspond to 1.222 kg of CO</w:t>
            </w:r>
            <w:r w:rsidRPr="00923391">
              <w:rPr>
                <w:sz w:val="20"/>
                <w:szCs w:val="20"/>
                <w:vertAlign w:val="subscript"/>
                <w:lang w:val="en-GB"/>
              </w:rPr>
              <w:t>2</w:t>
            </w:r>
            <w:r w:rsidRPr="00923391">
              <w:rPr>
                <w:sz w:val="20"/>
                <w:szCs w:val="20"/>
                <w:lang w:val="en-GB"/>
              </w:rPr>
              <w:t>)</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Disposal of PLA (C4 module)</w:t>
            </w:r>
          </w:p>
        </w:tc>
        <w:tc>
          <w:tcPr>
            <w:tcW w:w="1065" w:type="pct"/>
          </w:tcPr>
          <w:p w:rsidR="000F72CD" w:rsidRPr="00923391" w:rsidRDefault="000F72CD" w:rsidP="00E73183">
            <w:pPr>
              <w:jc w:val="both"/>
              <w:rPr>
                <w:sz w:val="20"/>
                <w:szCs w:val="20"/>
                <w:lang w:val="en-GB"/>
              </w:rPr>
            </w:pPr>
            <w:r w:rsidRPr="00923391">
              <w:rPr>
                <w:sz w:val="20"/>
                <w:szCs w:val="20"/>
                <w:lang w:val="en-GB"/>
              </w:rPr>
              <w:t xml:space="preserve">Assumption,  </w:t>
            </w:r>
            <w:proofErr w:type="spellStart"/>
            <w:r w:rsidRPr="00923391">
              <w:rPr>
                <w:sz w:val="20"/>
                <w:szCs w:val="20"/>
                <w:lang w:val="en-GB"/>
              </w:rPr>
              <w:t>Ecoinvent</w:t>
            </w:r>
            <w:proofErr w:type="spellEnd"/>
            <w:r w:rsidRPr="00923391">
              <w:rPr>
                <w:sz w:val="20"/>
                <w:szCs w:val="20"/>
                <w:lang w:val="en-GB"/>
              </w:rPr>
              <w:t xml:space="preserve"> v2.2, </w:t>
            </w:r>
            <w:proofErr w:type="spellStart"/>
            <w:r w:rsidRPr="00923391">
              <w:rPr>
                <w:sz w:val="20"/>
                <w:szCs w:val="20"/>
                <w:lang w:val="en-GB"/>
              </w:rPr>
              <w:t>Natureworks</w:t>
            </w:r>
            <w:proofErr w:type="spellEnd"/>
            <w:r w:rsidRPr="00923391">
              <w:rPr>
                <w:sz w:val="20"/>
                <w:szCs w:val="20"/>
                <w:lang w:val="en-GB"/>
              </w:rPr>
              <w:t xml:space="preserve"> 2014</w:t>
            </w:r>
          </w:p>
        </w:tc>
        <w:tc>
          <w:tcPr>
            <w:tcW w:w="2534" w:type="pct"/>
          </w:tcPr>
          <w:p w:rsidR="000F72CD" w:rsidRPr="00923391" w:rsidRDefault="000F72CD" w:rsidP="00E73183">
            <w:pPr>
              <w:jc w:val="both"/>
              <w:rPr>
                <w:sz w:val="20"/>
                <w:szCs w:val="20"/>
                <w:lang w:val="en-GB"/>
              </w:rPr>
            </w:pPr>
            <w:r w:rsidRPr="00923391">
              <w:rPr>
                <w:sz w:val="20"/>
                <w:szCs w:val="20"/>
                <w:lang w:val="en-GB"/>
              </w:rPr>
              <w:t>Disposal of PLA has a similar impact as the disposal of wood in Swiss municipal incineration plant with the exception that CO</w:t>
            </w:r>
            <w:r w:rsidRPr="00923391">
              <w:rPr>
                <w:sz w:val="20"/>
                <w:szCs w:val="20"/>
                <w:vertAlign w:val="subscript"/>
                <w:lang w:val="en-GB"/>
              </w:rPr>
              <w:t>2</w:t>
            </w:r>
            <w:r w:rsidRPr="00923391">
              <w:rPr>
                <w:sz w:val="20"/>
                <w:szCs w:val="20"/>
                <w:lang w:val="en-GB"/>
              </w:rPr>
              <w:t xml:space="preserve"> biogenic emissions are adapted to the one produced by the combustion of PLA (data from Literature (</w:t>
            </w:r>
            <w:proofErr w:type="spellStart"/>
            <w:r w:rsidRPr="00923391">
              <w:rPr>
                <w:sz w:val="20"/>
                <w:szCs w:val="20"/>
                <w:lang w:val="en-GB"/>
              </w:rPr>
              <w:t>Natureworks</w:t>
            </w:r>
            <w:proofErr w:type="spellEnd"/>
            <w:r w:rsidRPr="00923391">
              <w:rPr>
                <w:sz w:val="20"/>
                <w:szCs w:val="20"/>
                <w:lang w:val="en-GB"/>
              </w:rPr>
              <w:t xml:space="preserve"> 2014): 2.020 kgCO</w:t>
            </w:r>
            <w:r w:rsidRPr="00923391">
              <w:rPr>
                <w:sz w:val="20"/>
                <w:szCs w:val="20"/>
                <w:vertAlign w:val="subscript"/>
                <w:lang w:val="en-GB"/>
              </w:rPr>
              <w:t>2</w:t>
            </w:r>
            <w:r w:rsidRPr="00923391">
              <w:rPr>
                <w:sz w:val="20"/>
                <w:szCs w:val="20"/>
                <w:lang w:val="en-GB"/>
              </w:rPr>
              <w:t>biogen/kg PLA)</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Disposal of PMMA (C4 module)</w:t>
            </w:r>
          </w:p>
        </w:tc>
        <w:tc>
          <w:tcPr>
            <w:tcW w:w="1065" w:type="pct"/>
          </w:tcPr>
          <w:p w:rsidR="000F72CD" w:rsidRPr="00923391" w:rsidRDefault="000F72CD" w:rsidP="00E73183">
            <w:pPr>
              <w:jc w:val="both"/>
              <w:rPr>
                <w:sz w:val="20"/>
                <w:szCs w:val="20"/>
                <w:lang w:val="en-GB"/>
              </w:rPr>
            </w:pPr>
            <w:r w:rsidRPr="00923391">
              <w:rPr>
                <w:sz w:val="20"/>
                <w:szCs w:val="20"/>
                <w:lang w:val="en-GB"/>
              </w:rPr>
              <w:t xml:space="preserve">Assumption,   </w:t>
            </w:r>
            <w:proofErr w:type="spellStart"/>
            <w:r w:rsidRPr="00923391">
              <w:rPr>
                <w:sz w:val="20"/>
                <w:szCs w:val="20"/>
                <w:lang w:val="en-GB"/>
              </w:rPr>
              <w:t>Ecoinvent</w:t>
            </w:r>
            <w:proofErr w:type="spellEnd"/>
            <w:r w:rsidRPr="00923391">
              <w:rPr>
                <w:sz w:val="20"/>
                <w:szCs w:val="20"/>
                <w:lang w:val="en-GB"/>
              </w:rPr>
              <w:t xml:space="preserve"> v2.2</w:t>
            </w:r>
          </w:p>
        </w:tc>
        <w:tc>
          <w:tcPr>
            <w:tcW w:w="2534" w:type="pct"/>
          </w:tcPr>
          <w:p w:rsidR="000F72CD" w:rsidRPr="00923391" w:rsidRDefault="000F72CD" w:rsidP="00E73183">
            <w:pPr>
              <w:jc w:val="both"/>
              <w:rPr>
                <w:sz w:val="20"/>
                <w:szCs w:val="20"/>
                <w:lang w:val="en-GB"/>
              </w:rPr>
            </w:pPr>
            <w:r w:rsidRPr="00923391">
              <w:rPr>
                <w:sz w:val="20"/>
                <w:szCs w:val="20"/>
                <w:lang w:val="en-GB"/>
              </w:rPr>
              <w:t>Disposal of PMMA has a similar impact as the disposal of polyethylene (PE) in Swiss municipal incineration plant with the exception that CO</w:t>
            </w:r>
            <w:r w:rsidRPr="00923391">
              <w:rPr>
                <w:sz w:val="20"/>
                <w:szCs w:val="20"/>
                <w:vertAlign w:val="subscript"/>
                <w:lang w:val="en-GB"/>
              </w:rPr>
              <w:t>2</w:t>
            </w:r>
            <w:r w:rsidRPr="00923391">
              <w:rPr>
                <w:sz w:val="20"/>
                <w:szCs w:val="20"/>
                <w:lang w:val="en-GB"/>
              </w:rPr>
              <w:t xml:space="preserve"> fossil emissions are adapted to the one produced by the combustion of PMMA (calculated from the formula: C</w:t>
            </w:r>
            <w:r w:rsidRPr="00923391">
              <w:rPr>
                <w:sz w:val="20"/>
                <w:szCs w:val="20"/>
                <w:vertAlign w:val="subscript"/>
                <w:lang w:val="en-GB"/>
              </w:rPr>
              <w:t>5</w:t>
            </w:r>
            <w:r w:rsidRPr="00923391">
              <w:rPr>
                <w:sz w:val="20"/>
                <w:szCs w:val="20"/>
                <w:lang w:val="en-GB"/>
              </w:rPr>
              <w:t>O</w:t>
            </w:r>
            <w:r w:rsidRPr="00923391">
              <w:rPr>
                <w:sz w:val="20"/>
                <w:szCs w:val="20"/>
                <w:vertAlign w:val="subscript"/>
                <w:lang w:val="en-GB"/>
              </w:rPr>
              <w:t>2</w:t>
            </w:r>
            <w:r w:rsidRPr="00923391">
              <w:rPr>
                <w:sz w:val="20"/>
                <w:szCs w:val="20"/>
                <w:lang w:val="en-GB"/>
              </w:rPr>
              <w:t>H</w:t>
            </w:r>
            <w:r w:rsidRPr="00923391">
              <w:rPr>
                <w:sz w:val="20"/>
                <w:szCs w:val="20"/>
                <w:vertAlign w:val="subscript"/>
                <w:lang w:val="en-GB"/>
              </w:rPr>
              <w:t>8</w:t>
            </w:r>
            <w:r w:rsidRPr="00923391">
              <w:rPr>
                <w:sz w:val="20"/>
                <w:szCs w:val="20"/>
                <w:lang w:val="en-GB"/>
              </w:rPr>
              <w:t>+6CO</w:t>
            </w:r>
            <w:r w:rsidRPr="00923391">
              <w:rPr>
                <w:sz w:val="20"/>
                <w:szCs w:val="20"/>
                <w:vertAlign w:val="subscript"/>
                <w:lang w:val="en-GB"/>
              </w:rPr>
              <w:t>2</w:t>
            </w:r>
            <w:r w:rsidRPr="00923391">
              <w:rPr>
                <w:sz w:val="20"/>
                <w:szCs w:val="20"/>
                <w:lang w:val="en-GB"/>
              </w:rPr>
              <w:t xml:space="preserve"> -&gt; 5CO</w:t>
            </w:r>
            <w:r w:rsidRPr="00923391">
              <w:rPr>
                <w:sz w:val="20"/>
                <w:szCs w:val="20"/>
                <w:vertAlign w:val="subscript"/>
                <w:lang w:val="en-GB"/>
              </w:rPr>
              <w:t>2</w:t>
            </w:r>
            <w:r w:rsidRPr="00923391">
              <w:rPr>
                <w:sz w:val="20"/>
                <w:szCs w:val="20"/>
                <w:lang w:val="en-GB"/>
              </w:rPr>
              <w:t>+4H</w:t>
            </w:r>
            <w:r w:rsidRPr="00923391">
              <w:rPr>
                <w:sz w:val="20"/>
                <w:szCs w:val="20"/>
                <w:vertAlign w:val="subscript"/>
                <w:lang w:val="en-GB"/>
              </w:rPr>
              <w:t>2</w:t>
            </w:r>
            <w:r w:rsidRPr="00923391">
              <w:rPr>
                <w:sz w:val="20"/>
                <w:szCs w:val="20"/>
                <w:lang w:val="en-GB"/>
              </w:rPr>
              <w:t>O, incineration of 1 mole PMMA (100g) give 5 mole CO</w:t>
            </w:r>
            <w:r w:rsidRPr="00923391">
              <w:rPr>
                <w:sz w:val="20"/>
                <w:szCs w:val="20"/>
                <w:vertAlign w:val="subscript"/>
                <w:lang w:val="en-GB"/>
              </w:rPr>
              <w:t>2</w:t>
            </w:r>
            <w:r w:rsidRPr="00923391">
              <w:rPr>
                <w:sz w:val="20"/>
                <w:szCs w:val="20"/>
                <w:lang w:val="en-GB"/>
              </w:rPr>
              <w:t xml:space="preserve"> (220g))</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Disposal of Paraffin (module  C4)</w:t>
            </w:r>
          </w:p>
        </w:tc>
        <w:tc>
          <w:tcPr>
            <w:tcW w:w="1065" w:type="pct"/>
          </w:tcPr>
          <w:p w:rsidR="000F72CD" w:rsidRPr="00923391" w:rsidRDefault="000F72CD" w:rsidP="00E73183">
            <w:pPr>
              <w:jc w:val="both"/>
              <w:rPr>
                <w:sz w:val="20"/>
                <w:szCs w:val="20"/>
                <w:lang w:val="en-GB"/>
              </w:rPr>
            </w:pPr>
            <w:r w:rsidRPr="00923391">
              <w:rPr>
                <w:sz w:val="20"/>
                <w:szCs w:val="20"/>
                <w:lang w:val="en-GB"/>
              </w:rPr>
              <w:t xml:space="preserve">Assumption,   </w:t>
            </w:r>
            <w:proofErr w:type="spellStart"/>
            <w:r w:rsidRPr="00923391">
              <w:rPr>
                <w:sz w:val="20"/>
                <w:szCs w:val="20"/>
                <w:lang w:val="en-GB"/>
              </w:rPr>
              <w:t>Ecoinvent</w:t>
            </w:r>
            <w:proofErr w:type="spellEnd"/>
            <w:r w:rsidRPr="00923391">
              <w:rPr>
                <w:sz w:val="20"/>
                <w:szCs w:val="20"/>
                <w:lang w:val="en-GB"/>
              </w:rPr>
              <w:t xml:space="preserve"> v2.2</w:t>
            </w:r>
          </w:p>
        </w:tc>
        <w:tc>
          <w:tcPr>
            <w:tcW w:w="2534" w:type="pct"/>
          </w:tcPr>
          <w:p w:rsidR="000F72CD" w:rsidRPr="00923391" w:rsidRDefault="000F72CD" w:rsidP="00E73183">
            <w:pPr>
              <w:jc w:val="both"/>
              <w:rPr>
                <w:sz w:val="20"/>
                <w:szCs w:val="20"/>
                <w:lang w:val="en-GB"/>
              </w:rPr>
            </w:pPr>
            <w:r w:rsidRPr="00923391">
              <w:rPr>
                <w:sz w:val="20"/>
                <w:szCs w:val="20"/>
                <w:lang w:val="en-GB"/>
              </w:rPr>
              <w:t>Disposal of paraffin has a similar impact as the disposal of PE in Swiss municipal incineration plant.</w:t>
            </w:r>
          </w:p>
        </w:tc>
      </w:tr>
      <w:tr w:rsidR="000F72CD" w:rsidRPr="00923391" w:rsidTr="000F72CD">
        <w:tc>
          <w:tcPr>
            <w:tcW w:w="1401" w:type="pct"/>
          </w:tcPr>
          <w:p w:rsidR="000F72CD" w:rsidRPr="00923391" w:rsidRDefault="000F72CD" w:rsidP="00E73183">
            <w:pPr>
              <w:jc w:val="both"/>
              <w:rPr>
                <w:sz w:val="20"/>
                <w:szCs w:val="20"/>
                <w:lang w:val="en-GB"/>
              </w:rPr>
            </w:pPr>
            <w:r w:rsidRPr="00923391">
              <w:rPr>
                <w:sz w:val="20"/>
                <w:szCs w:val="20"/>
                <w:lang w:val="en-GB"/>
              </w:rPr>
              <w:t>Disposal of additives (module  C4)</w:t>
            </w:r>
          </w:p>
        </w:tc>
        <w:tc>
          <w:tcPr>
            <w:tcW w:w="1065" w:type="pct"/>
          </w:tcPr>
          <w:p w:rsidR="000F72CD" w:rsidRPr="00923391" w:rsidRDefault="000F72CD" w:rsidP="00E73183">
            <w:pPr>
              <w:jc w:val="both"/>
              <w:rPr>
                <w:sz w:val="20"/>
                <w:szCs w:val="20"/>
                <w:lang w:val="en-GB"/>
              </w:rPr>
            </w:pPr>
            <w:r w:rsidRPr="00923391">
              <w:rPr>
                <w:sz w:val="20"/>
                <w:szCs w:val="20"/>
                <w:lang w:val="en-GB"/>
              </w:rPr>
              <w:t>Assumption</w:t>
            </w:r>
          </w:p>
        </w:tc>
        <w:tc>
          <w:tcPr>
            <w:tcW w:w="2534" w:type="pct"/>
          </w:tcPr>
          <w:p w:rsidR="000F72CD" w:rsidRPr="00923391" w:rsidRDefault="000F72CD" w:rsidP="00E73183">
            <w:pPr>
              <w:jc w:val="both"/>
              <w:rPr>
                <w:sz w:val="20"/>
                <w:szCs w:val="20"/>
                <w:lang w:val="en-GB"/>
              </w:rPr>
            </w:pPr>
            <w:r w:rsidRPr="00923391">
              <w:rPr>
                <w:sz w:val="20"/>
                <w:szCs w:val="20"/>
                <w:lang w:val="en-GB"/>
              </w:rPr>
              <w:t>Negligible</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Energy recovery from PB (module  D)</w:t>
            </w:r>
          </w:p>
        </w:tc>
        <w:tc>
          <w:tcPr>
            <w:tcW w:w="1065" w:type="pct"/>
          </w:tcPr>
          <w:p w:rsidR="000F72CD" w:rsidRPr="00923391" w:rsidRDefault="000F72CD" w:rsidP="00E73183">
            <w:pPr>
              <w:jc w:val="both"/>
              <w:rPr>
                <w:sz w:val="20"/>
                <w:szCs w:val="20"/>
                <w:lang w:val="en-GB"/>
              </w:rPr>
            </w:pPr>
            <w:r w:rsidRPr="00923391">
              <w:rPr>
                <w:sz w:val="20"/>
                <w:szCs w:val="20"/>
                <w:lang w:val="en-GB"/>
              </w:rPr>
              <w:t xml:space="preserve">Assumption,   </w:t>
            </w:r>
            <w:proofErr w:type="spellStart"/>
            <w:r w:rsidRPr="00923391">
              <w:rPr>
                <w:sz w:val="20"/>
                <w:szCs w:val="20"/>
                <w:lang w:val="en-GB"/>
              </w:rPr>
              <w:t>Ecoinvent</w:t>
            </w:r>
            <w:proofErr w:type="spellEnd"/>
            <w:r w:rsidRPr="00923391">
              <w:rPr>
                <w:sz w:val="20"/>
                <w:szCs w:val="20"/>
                <w:lang w:val="en-GB"/>
              </w:rPr>
              <w:t xml:space="preserve"> v2.2</w:t>
            </w:r>
          </w:p>
        </w:tc>
        <w:tc>
          <w:tcPr>
            <w:tcW w:w="2534" w:type="pct"/>
          </w:tcPr>
          <w:p w:rsidR="000F72CD" w:rsidRPr="00923391" w:rsidRDefault="000F72CD" w:rsidP="00E73183">
            <w:pPr>
              <w:jc w:val="both"/>
              <w:rPr>
                <w:sz w:val="20"/>
                <w:szCs w:val="20"/>
                <w:lang w:val="en-GB"/>
              </w:rPr>
            </w:pPr>
            <w:r w:rsidRPr="00923391">
              <w:rPr>
                <w:sz w:val="20"/>
                <w:szCs w:val="20"/>
                <w:lang w:val="en-GB"/>
              </w:rPr>
              <w:t xml:space="preserve">Calculation on the energy recovery benefit from wood are based on the information of the </w:t>
            </w:r>
            <w:proofErr w:type="spellStart"/>
            <w:r w:rsidRPr="00923391">
              <w:rPr>
                <w:sz w:val="20"/>
                <w:szCs w:val="20"/>
                <w:lang w:val="en-GB"/>
              </w:rPr>
              <w:t>Ecoinvent</w:t>
            </w:r>
            <w:proofErr w:type="spellEnd"/>
            <w:r w:rsidRPr="00923391">
              <w:rPr>
                <w:sz w:val="20"/>
                <w:szCs w:val="20"/>
                <w:lang w:val="en-GB"/>
              </w:rPr>
              <w:t xml:space="preserve"> process “disposal, wood untreated, 20% water, to municipal incineration”</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Energy recovery from UF resin (module  D)</w:t>
            </w:r>
          </w:p>
        </w:tc>
        <w:tc>
          <w:tcPr>
            <w:tcW w:w="1065" w:type="pct"/>
          </w:tcPr>
          <w:p w:rsidR="000F72CD" w:rsidRPr="00923391" w:rsidRDefault="000F72CD" w:rsidP="00E73183">
            <w:pPr>
              <w:jc w:val="both"/>
              <w:rPr>
                <w:sz w:val="20"/>
                <w:szCs w:val="20"/>
                <w:lang w:val="en-GB"/>
              </w:rPr>
            </w:pPr>
            <w:r w:rsidRPr="00923391">
              <w:rPr>
                <w:sz w:val="20"/>
                <w:szCs w:val="20"/>
                <w:lang w:val="en-GB"/>
              </w:rPr>
              <w:t xml:space="preserve">Assumption,   </w:t>
            </w:r>
            <w:proofErr w:type="spellStart"/>
            <w:r w:rsidRPr="00923391">
              <w:rPr>
                <w:sz w:val="20"/>
                <w:szCs w:val="20"/>
                <w:lang w:val="en-GB"/>
              </w:rPr>
              <w:t>Ecoinvent</w:t>
            </w:r>
            <w:proofErr w:type="spellEnd"/>
            <w:r w:rsidRPr="00923391">
              <w:rPr>
                <w:sz w:val="20"/>
                <w:szCs w:val="20"/>
                <w:lang w:val="en-GB"/>
              </w:rPr>
              <w:t xml:space="preserve"> v2.2</w:t>
            </w:r>
          </w:p>
        </w:tc>
        <w:tc>
          <w:tcPr>
            <w:tcW w:w="2534" w:type="pct"/>
          </w:tcPr>
          <w:p w:rsidR="000F72CD" w:rsidRPr="00923391" w:rsidRDefault="000F72CD" w:rsidP="00E73183">
            <w:pPr>
              <w:jc w:val="both"/>
              <w:rPr>
                <w:sz w:val="20"/>
                <w:szCs w:val="20"/>
                <w:lang w:val="en-GB"/>
              </w:rPr>
            </w:pPr>
            <w:r w:rsidRPr="00923391">
              <w:rPr>
                <w:sz w:val="20"/>
                <w:szCs w:val="20"/>
                <w:lang w:val="en-GB"/>
              </w:rPr>
              <w:t>Calculation on the energy recovery benefit from UF resin are assumed to be similar to those of PU (</w:t>
            </w:r>
            <w:proofErr w:type="spellStart"/>
            <w:r w:rsidRPr="00923391">
              <w:rPr>
                <w:sz w:val="20"/>
                <w:szCs w:val="20"/>
                <w:lang w:val="en-GB"/>
              </w:rPr>
              <w:t>Ecoinvent</w:t>
            </w:r>
            <w:proofErr w:type="spellEnd"/>
            <w:r w:rsidRPr="00923391">
              <w:rPr>
                <w:sz w:val="20"/>
                <w:szCs w:val="20"/>
                <w:lang w:val="en-GB"/>
              </w:rPr>
              <w:t xml:space="preserve"> process “disposal, polyurethane, 0.2% water, to municipal incineration”)</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Energy recovery from paraffin (module  D)</w:t>
            </w:r>
          </w:p>
        </w:tc>
        <w:tc>
          <w:tcPr>
            <w:tcW w:w="1065" w:type="pct"/>
          </w:tcPr>
          <w:p w:rsidR="000F72CD" w:rsidRPr="00923391" w:rsidRDefault="000F72CD" w:rsidP="00E73183">
            <w:pPr>
              <w:jc w:val="both"/>
              <w:rPr>
                <w:sz w:val="20"/>
                <w:szCs w:val="20"/>
                <w:lang w:val="en-GB"/>
              </w:rPr>
            </w:pPr>
            <w:r w:rsidRPr="00923391">
              <w:rPr>
                <w:sz w:val="20"/>
                <w:szCs w:val="20"/>
                <w:lang w:val="en-GB"/>
              </w:rPr>
              <w:t xml:space="preserve">Assumption,   </w:t>
            </w:r>
            <w:proofErr w:type="spellStart"/>
            <w:r w:rsidRPr="00923391">
              <w:rPr>
                <w:sz w:val="20"/>
                <w:szCs w:val="20"/>
                <w:lang w:val="en-GB"/>
              </w:rPr>
              <w:t>Ecoinvent</w:t>
            </w:r>
            <w:proofErr w:type="spellEnd"/>
            <w:r w:rsidRPr="00923391">
              <w:rPr>
                <w:sz w:val="20"/>
                <w:szCs w:val="20"/>
                <w:lang w:val="en-GB"/>
              </w:rPr>
              <w:t xml:space="preserve"> v2.2</w:t>
            </w:r>
          </w:p>
        </w:tc>
        <w:tc>
          <w:tcPr>
            <w:tcW w:w="2534" w:type="pct"/>
          </w:tcPr>
          <w:p w:rsidR="000F72CD" w:rsidRPr="00923391" w:rsidRDefault="000F72CD" w:rsidP="00E73183">
            <w:pPr>
              <w:jc w:val="both"/>
              <w:rPr>
                <w:sz w:val="20"/>
                <w:szCs w:val="20"/>
                <w:lang w:val="en-GB"/>
              </w:rPr>
            </w:pPr>
            <w:r w:rsidRPr="00923391">
              <w:rPr>
                <w:sz w:val="20"/>
                <w:szCs w:val="20"/>
                <w:lang w:val="en-GB"/>
              </w:rPr>
              <w:t>Calculation on the energy recovery benefit from paraffin are assumed to be similar to those of PE (</w:t>
            </w:r>
            <w:proofErr w:type="spellStart"/>
            <w:r w:rsidRPr="00923391">
              <w:rPr>
                <w:sz w:val="20"/>
                <w:szCs w:val="20"/>
                <w:lang w:val="en-GB"/>
              </w:rPr>
              <w:t>Ecoinvent</w:t>
            </w:r>
            <w:proofErr w:type="spellEnd"/>
            <w:r w:rsidRPr="00923391">
              <w:rPr>
                <w:sz w:val="20"/>
                <w:szCs w:val="20"/>
                <w:lang w:val="en-GB"/>
              </w:rPr>
              <w:t xml:space="preserve"> process “disposal, polyethylene, 0.4% water, to municipal incineration”)</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Energy recovery from PLA (module  D)</w:t>
            </w:r>
          </w:p>
        </w:tc>
        <w:tc>
          <w:tcPr>
            <w:tcW w:w="1065" w:type="pct"/>
          </w:tcPr>
          <w:p w:rsidR="000F72CD" w:rsidRPr="00923391" w:rsidRDefault="000F72CD" w:rsidP="00E73183">
            <w:pPr>
              <w:jc w:val="both"/>
              <w:rPr>
                <w:sz w:val="20"/>
                <w:szCs w:val="20"/>
                <w:lang w:val="en-GB"/>
              </w:rPr>
            </w:pPr>
            <w:r w:rsidRPr="00923391">
              <w:rPr>
                <w:sz w:val="20"/>
                <w:szCs w:val="20"/>
                <w:lang w:val="en-GB"/>
              </w:rPr>
              <w:t xml:space="preserve">Assumption,  </w:t>
            </w:r>
            <w:proofErr w:type="spellStart"/>
            <w:r w:rsidRPr="00923391">
              <w:rPr>
                <w:sz w:val="20"/>
                <w:szCs w:val="20"/>
                <w:lang w:val="en-GB"/>
              </w:rPr>
              <w:t>Ecoinvent</w:t>
            </w:r>
            <w:proofErr w:type="spellEnd"/>
            <w:r w:rsidRPr="00923391">
              <w:rPr>
                <w:sz w:val="20"/>
                <w:szCs w:val="20"/>
                <w:lang w:val="en-GB"/>
              </w:rPr>
              <w:t xml:space="preserve"> v2.2, IFEU 2006</w:t>
            </w:r>
          </w:p>
        </w:tc>
        <w:tc>
          <w:tcPr>
            <w:tcW w:w="2534" w:type="pct"/>
          </w:tcPr>
          <w:p w:rsidR="000F72CD" w:rsidRPr="00923391" w:rsidRDefault="000F72CD" w:rsidP="00E73183">
            <w:pPr>
              <w:jc w:val="both"/>
              <w:rPr>
                <w:sz w:val="20"/>
                <w:szCs w:val="20"/>
                <w:lang w:val="en-GB"/>
              </w:rPr>
            </w:pPr>
            <w:r w:rsidRPr="00923391">
              <w:rPr>
                <w:sz w:val="20"/>
                <w:szCs w:val="20"/>
                <w:lang w:val="en-GB"/>
              </w:rPr>
              <w:t xml:space="preserve">Calculation on the energy recovery benefit from PLA are based on the efficiency of municipal Swiss incineration plant for the </w:t>
            </w:r>
            <w:proofErr w:type="spellStart"/>
            <w:r w:rsidRPr="00923391">
              <w:rPr>
                <w:sz w:val="20"/>
                <w:szCs w:val="20"/>
                <w:lang w:val="en-GB"/>
              </w:rPr>
              <w:t>Ecoinvent</w:t>
            </w:r>
            <w:proofErr w:type="spellEnd"/>
            <w:r w:rsidRPr="00923391">
              <w:rPr>
                <w:sz w:val="20"/>
                <w:szCs w:val="20"/>
                <w:lang w:val="en-GB"/>
              </w:rPr>
              <w:t xml:space="preserve"> process “plastics mixture” and the low heating value of PLA (IFEU 2006)</w:t>
            </w:r>
          </w:p>
        </w:tc>
      </w:tr>
      <w:tr w:rsidR="000F72CD" w:rsidRPr="00C56DCC" w:rsidTr="000F72CD">
        <w:tc>
          <w:tcPr>
            <w:tcW w:w="1401" w:type="pct"/>
          </w:tcPr>
          <w:p w:rsidR="000F72CD" w:rsidRPr="00923391" w:rsidRDefault="000F72CD" w:rsidP="00E73183">
            <w:pPr>
              <w:jc w:val="both"/>
              <w:rPr>
                <w:sz w:val="20"/>
                <w:szCs w:val="20"/>
                <w:lang w:val="en-GB"/>
              </w:rPr>
            </w:pPr>
            <w:r w:rsidRPr="00923391">
              <w:rPr>
                <w:sz w:val="20"/>
                <w:szCs w:val="20"/>
                <w:lang w:val="en-GB"/>
              </w:rPr>
              <w:t>Energy recovery from PMMA (module  D)</w:t>
            </w:r>
          </w:p>
        </w:tc>
        <w:tc>
          <w:tcPr>
            <w:tcW w:w="1065" w:type="pct"/>
          </w:tcPr>
          <w:p w:rsidR="000F72CD" w:rsidRPr="00923391" w:rsidRDefault="000F72CD" w:rsidP="00E73183">
            <w:pPr>
              <w:jc w:val="both"/>
              <w:rPr>
                <w:sz w:val="20"/>
                <w:szCs w:val="20"/>
                <w:lang w:val="en-GB"/>
              </w:rPr>
            </w:pPr>
            <w:r w:rsidRPr="00923391">
              <w:rPr>
                <w:sz w:val="20"/>
                <w:szCs w:val="20"/>
                <w:lang w:val="en-GB"/>
              </w:rPr>
              <w:t xml:space="preserve">Assumption,  </w:t>
            </w:r>
            <w:proofErr w:type="spellStart"/>
            <w:r w:rsidRPr="00923391">
              <w:rPr>
                <w:sz w:val="20"/>
                <w:szCs w:val="20"/>
                <w:lang w:val="en-GB"/>
              </w:rPr>
              <w:t>Ecoinvent</w:t>
            </w:r>
            <w:proofErr w:type="spellEnd"/>
            <w:r w:rsidRPr="00923391">
              <w:rPr>
                <w:sz w:val="20"/>
                <w:szCs w:val="20"/>
                <w:lang w:val="en-GB"/>
              </w:rPr>
              <w:t xml:space="preserve"> v2.2, Walters 2000</w:t>
            </w:r>
          </w:p>
        </w:tc>
        <w:tc>
          <w:tcPr>
            <w:tcW w:w="2534" w:type="pct"/>
          </w:tcPr>
          <w:p w:rsidR="000F72CD" w:rsidRPr="00923391" w:rsidRDefault="000F72CD" w:rsidP="00E73183">
            <w:pPr>
              <w:jc w:val="both"/>
              <w:rPr>
                <w:sz w:val="20"/>
                <w:szCs w:val="20"/>
                <w:lang w:val="en-GB"/>
              </w:rPr>
            </w:pPr>
            <w:r w:rsidRPr="00923391">
              <w:rPr>
                <w:sz w:val="20"/>
                <w:szCs w:val="20"/>
                <w:lang w:val="en-GB"/>
              </w:rPr>
              <w:t xml:space="preserve">Calculation on the energy recovery from benefit PMMA are based on the efficiency of municipal Swiss incineration plant for the </w:t>
            </w:r>
            <w:proofErr w:type="spellStart"/>
            <w:r w:rsidRPr="00923391">
              <w:rPr>
                <w:sz w:val="20"/>
                <w:szCs w:val="20"/>
                <w:lang w:val="en-GB"/>
              </w:rPr>
              <w:t>Ecoinvent</w:t>
            </w:r>
            <w:proofErr w:type="spellEnd"/>
            <w:r w:rsidRPr="00923391">
              <w:rPr>
                <w:sz w:val="20"/>
                <w:szCs w:val="20"/>
                <w:lang w:val="en-GB"/>
              </w:rPr>
              <w:t xml:space="preserve"> process “plastics mixture” and the low heating value of PMMA (Walters 2000)</w:t>
            </w:r>
          </w:p>
        </w:tc>
      </w:tr>
      <w:tr w:rsidR="000F72CD" w:rsidRPr="00C56DCC" w:rsidTr="000F72CD">
        <w:trPr>
          <w:trHeight w:val="1334"/>
        </w:trPr>
        <w:tc>
          <w:tcPr>
            <w:tcW w:w="1401" w:type="pct"/>
          </w:tcPr>
          <w:p w:rsidR="000F72CD" w:rsidRPr="00923391" w:rsidRDefault="000F72CD" w:rsidP="00E73183">
            <w:pPr>
              <w:jc w:val="both"/>
              <w:rPr>
                <w:sz w:val="20"/>
                <w:szCs w:val="20"/>
                <w:lang w:val="en-GB"/>
              </w:rPr>
            </w:pPr>
            <w:r w:rsidRPr="00923391">
              <w:rPr>
                <w:sz w:val="20"/>
                <w:szCs w:val="20"/>
                <w:lang w:val="en-GB"/>
              </w:rPr>
              <w:t>Energy recovery from panel disposal (module D)</w:t>
            </w:r>
          </w:p>
        </w:tc>
        <w:tc>
          <w:tcPr>
            <w:tcW w:w="1065" w:type="pct"/>
          </w:tcPr>
          <w:p w:rsidR="000F72CD" w:rsidRPr="00923391" w:rsidRDefault="000F72CD" w:rsidP="00E73183">
            <w:pPr>
              <w:jc w:val="both"/>
              <w:rPr>
                <w:sz w:val="20"/>
                <w:szCs w:val="20"/>
                <w:lang w:val="en-GB"/>
              </w:rPr>
            </w:pPr>
            <w:r w:rsidRPr="00923391">
              <w:rPr>
                <w:sz w:val="20"/>
                <w:szCs w:val="20"/>
                <w:lang w:val="en-GB"/>
              </w:rPr>
              <w:t xml:space="preserve">Assumption,   </w:t>
            </w:r>
            <w:proofErr w:type="spellStart"/>
            <w:r w:rsidRPr="00923391">
              <w:rPr>
                <w:sz w:val="20"/>
                <w:szCs w:val="20"/>
                <w:lang w:val="en-GB"/>
              </w:rPr>
              <w:t>Ecoinvent</w:t>
            </w:r>
            <w:proofErr w:type="spellEnd"/>
            <w:r w:rsidRPr="00923391">
              <w:rPr>
                <w:sz w:val="20"/>
                <w:szCs w:val="20"/>
                <w:lang w:val="en-GB"/>
              </w:rPr>
              <w:t xml:space="preserve"> v2.2</w:t>
            </w:r>
          </w:p>
        </w:tc>
        <w:tc>
          <w:tcPr>
            <w:tcW w:w="2534" w:type="pct"/>
          </w:tcPr>
          <w:p w:rsidR="000F72CD" w:rsidRPr="00923391" w:rsidRDefault="000F72CD" w:rsidP="00E73183">
            <w:pPr>
              <w:jc w:val="both"/>
              <w:rPr>
                <w:sz w:val="20"/>
                <w:szCs w:val="20"/>
                <w:lang w:val="en-GB"/>
              </w:rPr>
            </w:pPr>
            <w:r w:rsidRPr="00923391">
              <w:rPr>
                <w:sz w:val="20"/>
                <w:szCs w:val="20"/>
                <w:lang w:val="en-GB"/>
              </w:rPr>
              <w:t>Calculated amount of energy recovery (in MJ) with specific efficiencies for thermal and electrical production were considered as avoided consumption of electricity mix Switzerland and avoided light fuel oil for heat, burned in boiler 100kW.</w:t>
            </w:r>
          </w:p>
        </w:tc>
      </w:tr>
    </w:tbl>
    <w:p w:rsidR="000F72CD" w:rsidRDefault="000F72CD" w:rsidP="000F72CD">
      <w:pPr>
        <w:jc w:val="both"/>
        <w:rPr>
          <w:lang w:val="en-GB"/>
        </w:rPr>
      </w:pPr>
    </w:p>
    <w:p w:rsidR="00C56DCC" w:rsidRPr="00E949B4" w:rsidRDefault="00C56DCC" w:rsidP="00C56DCC">
      <w:pPr>
        <w:pStyle w:val="Caption"/>
        <w:jc w:val="both"/>
        <w:rPr>
          <w:rFonts w:asciiTheme="majorHAnsi" w:eastAsiaTheme="majorEastAsia" w:hAnsiTheme="majorHAnsi" w:cstheme="majorBidi"/>
          <w:b w:val="0"/>
          <w:bCs w:val="0"/>
          <w:color w:val="auto"/>
          <w:sz w:val="20"/>
          <w:szCs w:val="22"/>
          <w:lang w:val="en-GB"/>
        </w:rPr>
      </w:pPr>
      <w:bookmarkStart w:id="0" w:name="_Ref384741810"/>
      <w:r>
        <w:rPr>
          <w:rFonts w:asciiTheme="majorHAnsi" w:eastAsiaTheme="majorEastAsia" w:hAnsiTheme="majorHAnsi" w:cstheme="majorBidi"/>
          <w:b w:val="0"/>
          <w:bCs w:val="0"/>
          <w:color w:val="auto"/>
          <w:sz w:val="20"/>
          <w:szCs w:val="22"/>
          <w:lang w:val="en-GB"/>
        </w:rPr>
        <w:t>Appendix</w:t>
      </w:r>
      <w:r w:rsidRPr="00E949B4">
        <w:rPr>
          <w:rFonts w:asciiTheme="majorHAnsi" w:eastAsiaTheme="majorEastAsia" w:hAnsiTheme="majorHAnsi" w:cstheme="majorBidi"/>
          <w:b w:val="0"/>
          <w:bCs w:val="0"/>
          <w:color w:val="auto"/>
          <w:sz w:val="20"/>
          <w:szCs w:val="22"/>
          <w:lang w:val="en-GB"/>
        </w:rPr>
        <w:t xml:space="preserve"> </w:t>
      </w:r>
      <w:r w:rsidRPr="00E949B4">
        <w:rPr>
          <w:rFonts w:asciiTheme="majorHAnsi" w:eastAsiaTheme="majorEastAsia" w:hAnsiTheme="majorHAnsi" w:cstheme="majorBidi"/>
          <w:b w:val="0"/>
          <w:bCs w:val="0"/>
          <w:color w:val="auto"/>
          <w:sz w:val="20"/>
          <w:szCs w:val="22"/>
          <w:lang w:val="en-GB"/>
        </w:rPr>
        <w:fldChar w:fldCharType="begin"/>
      </w:r>
      <w:r w:rsidRPr="00E949B4">
        <w:rPr>
          <w:rFonts w:asciiTheme="majorHAnsi" w:eastAsiaTheme="majorEastAsia" w:hAnsiTheme="majorHAnsi" w:cstheme="majorBidi"/>
          <w:b w:val="0"/>
          <w:bCs w:val="0"/>
          <w:color w:val="auto"/>
          <w:sz w:val="20"/>
          <w:szCs w:val="22"/>
          <w:lang w:val="en-GB"/>
        </w:rPr>
        <w:instrText xml:space="preserve"> SEQ Table \* ARABIC </w:instrText>
      </w:r>
      <w:r w:rsidRPr="00E949B4">
        <w:rPr>
          <w:rFonts w:asciiTheme="majorHAnsi" w:eastAsiaTheme="majorEastAsia" w:hAnsiTheme="majorHAnsi" w:cstheme="majorBidi"/>
          <w:b w:val="0"/>
          <w:bCs w:val="0"/>
          <w:color w:val="auto"/>
          <w:sz w:val="20"/>
          <w:szCs w:val="22"/>
          <w:lang w:val="en-GB"/>
        </w:rPr>
        <w:fldChar w:fldCharType="separate"/>
      </w:r>
      <w:r w:rsidRPr="00E949B4">
        <w:rPr>
          <w:rFonts w:asciiTheme="majorHAnsi" w:eastAsiaTheme="majorEastAsia" w:hAnsiTheme="majorHAnsi" w:cstheme="majorBidi"/>
          <w:b w:val="0"/>
          <w:bCs w:val="0"/>
          <w:noProof/>
          <w:color w:val="auto"/>
          <w:sz w:val="20"/>
          <w:szCs w:val="22"/>
          <w:lang w:val="en-GB"/>
        </w:rPr>
        <w:t>2</w:t>
      </w:r>
      <w:r w:rsidRPr="00E949B4">
        <w:rPr>
          <w:rFonts w:asciiTheme="majorHAnsi" w:eastAsiaTheme="majorEastAsia" w:hAnsiTheme="majorHAnsi" w:cstheme="majorBidi"/>
          <w:b w:val="0"/>
          <w:bCs w:val="0"/>
          <w:color w:val="auto"/>
          <w:sz w:val="20"/>
          <w:szCs w:val="22"/>
          <w:lang w:val="en-GB"/>
        </w:rPr>
        <w:fldChar w:fldCharType="end"/>
      </w:r>
      <w:bookmarkEnd w:id="0"/>
      <w:r w:rsidRPr="00E949B4">
        <w:rPr>
          <w:rFonts w:asciiTheme="majorHAnsi" w:eastAsiaTheme="majorEastAsia" w:hAnsiTheme="majorHAnsi" w:cstheme="majorBidi"/>
          <w:b w:val="0"/>
          <w:bCs w:val="0"/>
          <w:color w:val="auto"/>
          <w:sz w:val="20"/>
          <w:szCs w:val="22"/>
          <w:lang w:val="en-GB"/>
        </w:rPr>
        <w:t>: Results of the LCIA of 1 m</w:t>
      </w:r>
      <w:r w:rsidRPr="00E949B4">
        <w:rPr>
          <w:rFonts w:asciiTheme="majorHAnsi" w:eastAsiaTheme="majorEastAsia" w:hAnsiTheme="majorHAnsi" w:cstheme="majorBidi"/>
          <w:b w:val="0"/>
          <w:bCs w:val="0"/>
          <w:color w:val="auto"/>
          <w:sz w:val="20"/>
          <w:szCs w:val="22"/>
          <w:vertAlign w:val="superscript"/>
          <w:lang w:val="en-GB"/>
        </w:rPr>
        <w:t>3</w:t>
      </w:r>
      <w:r w:rsidRPr="00E949B4">
        <w:rPr>
          <w:rFonts w:asciiTheme="majorHAnsi" w:eastAsiaTheme="majorEastAsia" w:hAnsiTheme="majorHAnsi" w:cstheme="majorBidi"/>
          <w:b w:val="0"/>
          <w:bCs w:val="0"/>
          <w:color w:val="auto"/>
          <w:sz w:val="20"/>
          <w:szCs w:val="22"/>
          <w:lang w:val="en-GB"/>
        </w:rPr>
        <w:t xml:space="preserve"> ULPB with PLA/PMMA core for the 7 environmental indicators as well as for </w:t>
      </w:r>
      <w:proofErr w:type="spellStart"/>
      <w:r w:rsidRPr="00E949B4">
        <w:rPr>
          <w:rFonts w:asciiTheme="majorHAnsi" w:eastAsiaTheme="majorEastAsia" w:hAnsiTheme="majorHAnsi" w:cstheme="majorBidi"/>
          <w:b w:val="0"/>
          <w:bCs w:val="0"/>
          <w:color w:val="auto"/>
          <w:sz w:val="20"/>
          <w:szCs w:val="22"/>
          <w:lang w:val="en-GB"/>
        </w:rPr>
        <w:t>UseTox</w:t>
      </w:r>
      <w:proofErr w:type="spellEnd"/>
      <w:r w:rsidRPr="00E949B4">
        <w:rPr>
          <w:rFonts w:asciiTheme="majorHAnsi" w:eastAsiaTheme="majorEastAsia" w:hAnsiTheme="majorHAnsi" w:cstheme="majorBidi"/>
          <w:b w:val="0"/>
          <w:bCs w:val="0"/>
          <w:color w:val="auto"/>
          <w:sz w:val="20"/>
          <w:szCs w:val="22"/>
          <w:lang w:val="en-GB"/>
        </w:rPr>
        <w:t xml:space="preserve"> and the Swiss method Ecological Scarcity 2006 (GWP = Global Warming Potential, GWP* = GWP without biogenic carbon; IPCC 2007 100 years; ODP = Ozone Depletion Potential steady state; AP = Acidification Potential average European; EP = Eutrophication Potential generic; POCP = Photochemical Ozon</w:t>
      </w:r>
      <w:r>
        <w:rPr>
          <w:rFonts w:asciiTheme="majorHAnsi" w:eastAsiaTheme="majorEastAsia" w:hAnsiTheme="majorHAnsi" w:cstheme="majorBidi"/>
          <w:b w:val="0"/>
          <w:bCs w:val="0"/>
          <w:color w:val="auto"/>
          <w:sz w:val="20"/>
          <w:szCs w:val="22"/>
          <w:lang w:val="en-GB"/>
        </w:rPr>
        <w:t>e</w:t>
      </w:r>
      <w:r w:rsidRPr="00E949B4">
        <w:rPr>
          <w:rFonts w:asciiTheme="majorHAnsi" w:eastAsiaTheme="majorEastAsia" w:hAnsiTheme="majorHAnsi" w:cstheme="majorBidi"/>
          <w:b w:val="0"/>
          <w:bCs w:val="0"/>
          <w:color w:val="auto"/>
          <w:sz w:val="20"/>
          <w:szCs w:val="22"/>
          <w:lang w:val="en-GB"/>
        </w:rPr>
        <w:t xml:space="preserve"> Creation Potential high NOx; ADPE = Abiotic Depletion Potential Elements; ADPF = Abiotic Depletion Potential Fossil; </w:t>
      </w:r>
      <w:proofErr w:type="spellStart"/>
      <w:r w:rsidRPr="00E949B4">
        <w:rPr>
          <w:rFonts w:asciiTheme="majorHAnsi" w:eastAsiaTheme="majorEastAsia" w:hAnsiTheme="majorHAnsi" w:cstheme="majorBidi"/>
          <w:b w:val="0"/>
          <w:bCs w:val="0"/>
          <w:color w:val="auto"/>
          <w:sz w:val="20"/>
          <w:szCs w:val="22"/>
          <w:lang w:val="en-GB"/>
        </w:rPr>
        <w:t>CTUe</w:t>
      </w:r>
      <w:proofErr w:type="spellEnd"/>
      <w:r w:rsidRPr="00E949B4">
        <w:rPr>
          <w:rFonts w:asciiTheme="majorHAnsi" w:eastAsiaTheme="majorEastAsia" w:hAnsiTheme="majorHAnsi" w:cstheme="majorBidi"/>
          <w:b w:val="0"/>
          <w:bCs w:val="0"/>
          <w:color w:val="auto"/>
          <w:sz w:val="20"/>
          <w:szCs w:val="22"/>
          <w:lang w:val="en-GB"/>
        </w:rPr>
        <w:t xml:space="preserve"> = Comparative Toxic Unit </w:t>
      </w:r>
      <w:proofErr w:type="spellStart"/>
      <w:r w:rsidRPr="00E949B4">
        <w:rPr>
          <w:rFonts w:asciiTheme="majorHAnsi" w:eastAsiaTheme="majorEastAsia" w:hAnsiTheme="majorHAnsi" w:cstheme="majorBidi"/>
          <w:b w:val="0"/>
          <w:bCs w:val="0"/>
          <w:color w:val="auto"/>
          <w:sz w:val="20"/>
          <w:szCs w:val="22"/>
          <w:lang w:val="en-GB"/>
        </w:rPr>
        <w:t>ecotoxicity</w:t>
      </w:r>
      <w:proofErr w:type="spellEnd"/>
      <w:r w:rsidRPr="00E949B4">
        <w:rPr>
          <w:rFonts w:asciiTheme="majorHAnsi" w:eastAsiaTheme="majorEastAsia" w:hAnsiTheme="majorHAnsi" w:cstheme="majorBidi"/>
          <w:b w:val="0"/>
          <w:bCs w:val="0"/>
          <w:color w:val="auto"/>
          <w:sz w:val="20"/>
          <w:szCs w:val="22"/>
          <w:lang w:val="en-GB"/>
        </w:rPr>
        <w:t>; UBP = “</w:t>
      </w:r>
      <w:proofErr w:type="spellStart"/>
      <w:r w:rsidRPr="00E949B4">
        <w:rPr>
          <w:rFonts w:asciiTheme="majorHAnsi" w:eastAsiaTheme="majorEastAsia" w:hAnsiTheme="majorHAnsi" w:cstheme="majorBidi"/>
          <w:b w:val="0"/>
          <w:bCs w:val="0"/>
          <w:color w:val="auto"/>
          <w:sz w:val="20"/>
          <w:szCs w:val="22"/>
          <w:lang w:val="en-GB"/>
        </w:rPr>
        <w:t>Umweltbelastungspunkte</w:t>
      </w:r>
      <w:proofErr w:type="spellEnd"/>
      <w:r w:rsidRPr="00E949B4">
        <w:rPr>
          <w:rFonts w:asciiTheme="majorHAnsi" w:eastAsiaTheme="majorEastAsia" w:hAnsiTheme="majorHAnsi" w:cstheme="majorBidi"/>
          <w:b w:val="0"/>
          <w:bCs w:val="0"/>
          <w:color w:val="auto"/>
          <w:sz w:val="20"/>
          <w:szCs w:val="22"/>
          <w:lang w:val="en-GB"/>
        </w:rPr>
        <w:t>” or eco-points)</w:t>
      </w:r>
    </w:p>
    <w:tbl>
      <w:tblPr>
        <w:tblW w:w="5122" w:type="pct"/>
        <w:tblLook w:val="04A0" w:firstRow="1" w:lastRow="0" w:firstColumn="1" w:lastColumn="0" w:noHBand="0" w:noVBand="1"/>
      </w:tblPr>
      <w:tblGrid>
        <w:gridCol w:w="2178"/>
        <w:gridCol w:w="1010"/>
        <w:gridCol w:w="1007"/>
        <w:gridCol w:w="1007"/>
        <w:gridCol w:w="1007"/>
        <w:gridCol w:w="1007"/>
        <w:gridCol w:w="1007"/>
        <w:gridCol w:w="1292"/>
      </w:tblGrid>
      <w:tr w:rsidR="00C56DCC" w:rsidRPr="00E949B4" w:rsidTr="00FA25AE">
        <w:trPr>
          <w:trHeight w:val="270"/>
        </w:trPr>
        <w:tc>
          <w:tcPr>
            <w:tcW w:w="114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b/>
                <w:bCs/>
                <w:color w:val="000000"/>
                <w:sz w:val="16"/>
                <w:szCs w:val="20"/>
                <w:lang w:val="en-GB" w:eastAsia="en-GB"/>
              </w:rPr>
            </w:pPr>
            <w:r w:rsidRPr="00E949B4">
              <w:rPr>
                <w:rFonts w:eastAsia="Times New Roman" w:cs="Times New Roman"/>
                <w:b/>
                <w:bCs/>
                <w:color w:val="000000"/>
                <w:sz w:val="16"/>
                <w:szCs w:val="20"/>
                <w:lang w:val="en-GB" w:eastAsia="en-GB"/>
              </w:rPr>
              <w:t>EN15804  modules</w:t>
            </w:r>
          </w:p>
        </w:tc>
        <w:tc>
          <w:tcPr>
            <w:tcW w:w="530" w:type="pct"/>
            <w:tcBorders>
              <w:top w:val="single" w:sz="8" w:space="0" w:color="auto"/>
              <w:left w:val="nil"/>
              <w:bottom w:val="single" w:sz="8" w:space="0" w:color="auto"/>
              <w:right w:val="single" w:sz="8" w:space="0" w:color="auto"/>
            </w:tcBorders>
            <w:shd w:val="clear" w:color="auto" w:fill="auto"/>
            <w:vAlign w:val="center"/>
            <w:hideMark/>
          </w:tcPr>
          <w:p w:rsidR="00C56DCC" w:rsidRPr="00E949B4" w:rsidRDefault="00C56DCC" w:rsidP="00FA25AE">
            <w:pPr>
              <w:spacing w:after="0" w:line="240" w:lineRule="auto"/>
              <w:jc w:val="both"/>
              <w:rPr>
                <w:rFonts w:eastAsia="Times New Roman" w:cs="Times New Roman"/>
                <w:b/>
                <w:bCs/>
                <w:color w:val="000000"/>
                <w:sz w:val="16"/>
                <w:szCs w:val="20"/>
                <w:lang w:val="en-GB" w:eastAsia="en-GB"/>
              </w:rPr>
            </w:pPr>
            <w:r w:rsidRPr="00E949B4">
              <w:rPr>
                <w:rFonts w:eastAsia="Times New Roman" w:cs="Times New Roman"/>
                <w:b/>
                <w:bCs/>
                <w:color w:val="000000"/>
                <w:sz w:val="16"/>
                <w:szCs w:val="20"/>
                <w:lang w:val="en-GB" w:eastAsia="en-GB"/>
              </w:rPr>
              <w:t>A1</w:t>
            </w:r>
          </w:p>
        </w:tc>
        <w:tc>
          <w:tcPr>
            <w:tcW w:w="529" w:type="pct"/>
            <w:tcBorders>
              <w:top w:val="single" w:sz="8" w:space="0" w:color="auto"/>
              <w:left w:val="nil"/>
              <w:bottom w:val="single" w:sz="8" w:space="0" w:color="auto"/>
              <w:right w:val="single" w:sz="8" w:space="0" w:color="auto"/>
            </w:tcBorders>
            <w:shd w:val="clear" w:color="auto" w:fill="auto"/>
            <w:vAlign w:val="center"/>
            <w:hideMark/>
          </w:tcPr>
          <w:p w:rsidR="00C56DCC" w:rsidRPr="00E949B4" w:rsidRDefault="00C56DCC" w:rsidP="00FA25AE">
            <w:pPr>
              <w:spacing w:after="0" w:line="240" w:lineRule="auto"/>
              <w:jc w:val="both"/>
              <w:rPr>
                <w:rFonts w:eastAsia="Times New Roman" w:cs="Times New Roman"/>
                <w:b/>
                <w:bCs/>
                <w:color w:val="000000"/>
                <w:sz w:val="16"/>
                <w:szCs w:val="20"/>
                <w:lang w:val="en-GB" w:eastAsia="en-GB"/>
              </w:rPr>
            </w:pPr>
            <w:r w:rsidRPr="00E949B4">
              <w:rPr>
                <w:rFonts w:eastAsia="Times New Roman" w:cs="Times New Roman"/>
                <w:b/>
                <w:bCs/>
                <w:color w:val="000000"/>
                <w:sz w:val="16"/>
                <w:szCs w:val="20"/>
                <w:lang w:val="en-GB" w:eastAsia="en-GB"/>
              </w:rPr>
              <w:t>A2</w:t>
            </w:r>
          </w:p>
        </w:tc>
        <w:tc>
          <w:tcPr>
            <w:tcW w:w="529" w:type="pct"/>
            <w:tcBorders>
              <w:top w:val="single" w:sz="8" w:space="0" w:color="auto"/>
              <w:left w:val="nil"/>
              <w:bottom w:val="single" w:sz="8" w:space="0" w:color="auto"/>
              <w:right w:val="single" w:sz="8" w:space="0" w:color="auto"/>
            </w:tcBorders>
            <w:shd w:val="clear" w:color="auto" w:fill="auto"/>
            <w:vAlign w:val="center"/>
            <w:hideMark/>
          </w:tcPr>
          <w:p w:rsidR="00C56DCC" w:rsidRPr="00E949B4" w:rsidRDefault="00C56DCC" w:rsidP="00FA25AE">
            <w:pPr>
              <w:spacing w:after="0" w:line="240" w:lineRule="auto"/>
              <w:jc w:val="both"/>
              <w:rPr>
                <w:rFonts w:eastAsia="Times New Roman" w:cs="Times New Roman"/>
                <w:b/>
                <w:bCs/>
                <w:color w:val="000000"/>
                <w:sz w:val="16"/>
                <w:szCs w:val="20"/>
                <w:lang w:val="en-GB" w:eastAsia="en-GB"/>
              </w:rPr>
            </w:pPr>
            <w:r w:rsidRPr="00E949B4">
              <w:rPr>
                <w:rFonts w:eastAsia="Times New Roman" w:cs="Times New Roman"/>
                <w:b/>
                <w:bCs/>
                <w:color w:val="000000"/>
                <w:sz w:val="16"/>
                <w:szCs w:val="20"/>
                <w:lang w:val="en-GB" w:eastAsia="en-GB"/>
              </w:rPr>
              <w:t xml:space="preserve">A3 </w:t>
            </w:r>
          </w:p>
        </w:tc>
        <w:tc>
          <w:tcPr>
            <w:tcW w:w="529" w:type="pct"/>
            <w:tcBorders>
              <w:top w:val="single" w:sz="8" w:space="0" w:color="auto"/>
              <w:left w:val="nil"/>
              <w:bottom w:val="single" w:sz="8" w:space="0" w:color="auto"/>
              <w:right w:val="single" w:sz="8" w:space="0" w:color="auto"/>
            </w:tcBorders>
            <w:shd w:val="clear" w:color="auto" w:fill="auto"/>
            <w:vAlign w:val="center"/>
            <w:hideMark/>
          </w:tcPr>
          <w:p w:rsidR="00C56DCC" w:rsidRPr="00E949B4" w:rsidRDefault="00C56DCC" w:rsidP="00FA25AE">
            <w:pPr>
              <w:spacing w:after="0" w:line="240" w:lineRule="auto"/>
              <w:jc w:val="both"/>
              <w:rPr>
                <w:rFonts w:eastAsia="Times New Roman" w:cs="Times New Roman"/>
                <w:b/>
                <w:bCs/>
                <w:color w:val="000000"/>
                <w:sz w:val="16"/>
                <w:szCs w:val="20"/>
                <w:lang w:val="en-GB" w:eastAsia="en-GB"/>
              </w:rPr>
            </w:pPr>
            <w:r w:rsidRPr="00E949B4">
              <w:rPr>
                <w:rFonts w:eastAsia="Times New Roman" w:cs="Times New Roman"/>
                <w:b/>
                <w:bCs/>
                <w:color w:val="000000"/>
                <w:sz w:val="16"/>
                <w:szCs w:val="20"/>
                <w:lang w:val="en-GB" w:eastAsia="en-GB"/>
              </w:rPr>
              <w:t>A4</w:t>
            </w:r>
          </w:p>
        </w:tc>
        <w:tc>
          <w:tcPr>
            <w:tcW w:w="529" w:type="pct"/>
            <w:tcBorders>
              <w:top w:val="single" w:sz="8" w:space="0" w:color="auto"/>
              <w:left w:val="nil"/>
              <w:bottom w:val="single" w:sz="8" w:space="0" w:color="auto"/>
              <w:right w:val="single" w:sz="8" w:space="0" w:color="auto"/>
            </w:tcBorders>
            <w:shd w:val="clear" w:color="auto" w:fill="auto"/>
            <w:vAlign w:val="center"/>
            <w:hideMark/>
          </w:tcPr>
          <w:p w:rsidR="00C56DCC" w:rsidRPr="00E949B4" w:rsidRDefault="00C56DCC" w:rsidP="00FA25AE">
            <w:pPr>
              <w:spacing w:after="0" w:line="240" w:lineRule="auto"/>
              <w:jc w:val="both"/>
              <w:rPr>
                <w:rFonts w:eastAsia="Times New Roman" w:cs="Times New Roman"/>
                <w:b/>
                <w:bCs/>
                <w:color w:val="000000"/>
                <w:sz w:val="16"/>
                <w:szCs w:val="20"/>
                <w:lang w:val="en-GB" w:eastAsia="en-GB"/>
              </w:rPr>
            </w:pPr>
            <w:r w:rsidRPr="00E949B4">
              <w:rPr>
                <w:rFonts w:eastAsia="Times New Roman" w:cs="Times New Roman"/>
                <w:b/>
                <w:bCs/>
                <w:color w:val="000000"/>
                <w:sz w:val="16"/>
                <w:szCs w:val="20"/>
                <w:lang w:val="en-GB" w:eastAsia="en-GB"/>
              </w:rPr>
              <w:t>C2</w:t>
            </w:r>
          </w:p>
        </w:tc>
        <w:tc>
          <w:tcPr>
            <w:tcW w:w="529" w:type="pct"/>
            <w:tcBorders>
              <w:top w:val="single" w:sz="8" w:space="0" w:color="auto"/>
              <w:left w:val="nil"/>
              <w:bottom w:val="single" w:sz="8" w:space="0" w:color="auto"/>
              <w:right w:val="single" w:sz="8" w:space="0" w:color="auto"/>
            </w:tcBorders>
            <w:shd w:val="clear" w:color="auto" w:fill="auto"/>
            <w:vAlign w:val="center"/>
            <w:hideMark/>
          </w:tcPr>
          <w:p w:rsidR="00C56DCC" w:rsidRPr="00E949B4" w:rsidRDefault="00C56DCC" w:rsidP="00FA25AE">
            <w:pPr>
              <w:spacing w:after="0" w:line="240" w:lineRule="auto"/>
              <w:jc w:val="both"/>
              <w:rPr>
                <w:rFonts w:eastAsia="Times New Roman" w:cs="Times New Roman"/>
                <w:b/>
                <w:bCs/>
                <w:color w:val="000000"/>
                <w:sz w:val="16"/>
                <w:szCs w:val="20"/>
                <w:lang w:val="en-GB" w:eastAsia="en-GB"/>
              </w:rPr>
            </w:pPr>
            <w:r w:rsidRPr="00E949B4">
              <w:rPr>
                <w:rFonts w:eastAsia="Times New Roman" w:cs="Times New Roman"/>
                <w:b/>
                <w:bCs/>
                <w:color w:val="000000"/>
                <w:sz w:val="16"/>
                <w:szCs w:val="20"/>
                <w:lang w:val="en-GB" w:eastAsia="en-GB"/>
              </w:rPr>
              <w:t>C4</w:t>
            </w:r>
          </w:p>
        </w:tc>
        <w:tc>
          <w:tcPr>
            <w:tcW w:w="679" w:type="pct"/>
            <w:tcBorders>
              <w:top w:val="single" w:sz="8" w:space="0" w:color="auto"/>
              <w:left w:val="nil"/>
              <w:bottom w:val="single" w:sz="8" w:space="0" w:color="auto"/>
              <w:right w:val="single" w:sz="8" w:space="0" w:color="auto"/>
            </w:tcBorders>
            <w:shd w:val="clear" w:color="auto" w:fill="auto"/>
            <w:vAlign w:val="center"/>
            <w:hideMark/>
          </w:tcPr>
          <w:p w:rsidR="00C56DCC" w:rsidRPr="00E949B4" w:rsidRDefault="00C56DCC" w:rsidP="00FA25AE">
            <w:pPr>
              <w:spacing w:after="0" w:line="240" w:lineRule="auto"/>
              <w:jc w:val="both"/>
              <w:rPr>
                <w:rFonts w:eastAsia="Times New Roman" w:cs="Times New Roman"/>
                <w:b/>
                <w:bCs/>
                <w:color w:val="000000"/>
                <w:sz w:val="16"/>
                <w:szCs w:val="20"/>
                <w:lang w:val="en-GB" w:eastAsia="en-GB"/>
              </w:rPr>
            </w:pPr>
            <w:r w:rsidRPr="00E949B4">
              <w:rPr>
                <w:rFonts w:eastAsia="Times New Roman" w:cs="Times New Roman"/>
                <w:b/>
                <w:bCs/>
                <w:color w:val="000000"/>
                <w:sz w:val="16"/>
                <w:szCs w:val="20"/>
                <w:lang w:val="en-GB" w:eastAsia="en-GB"/>
              </w:rPr>
              <w:t>D</w:t>
            </w:r>
          </w:p>
        </w:tc>
      </w:tr>
      <w:tr w:rsidR="00C56DCC" w:rsidRPr="00E949B4" w:rsidTr="00FA25AE">
        <w:trPr>
          <w:trHeight w:val="270"/>
        </w:trPr>
        <w:tc>
          <w:tcPr>
            <w:tcW w:w="1143" w:type="pct"/>
            <w:tcBorders>
              <w:top w:val="nil"/>
              <w:left w:val="single" w:sz="8" w:space="0" w:color="auto"/>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 xml:space="preserve">GWP </w:t>
            </w:r>
            <w:r>
              <w:rPr>
                <w:rFonts w:eastAsia="Times New Roman" w:cs="Times New Roman"/>
                <w:color w:val="000000"/>
                <w:sz w:val="16"/>
                <w:szCs w:val="20"/>
                <w:lang w:val="en-GB" w:eastAsia="en-GB"/>
              </w:rPr>
              <w:t>(</w:t>
            </w:r>
            <w:r w:rsidRPr="00E949B4">
              <w:rPr>
                <w:rFonts w:eastAsia="Times New Roman" w:cs="Times New Roman"/>
                <w:color w:val="000000"/>
                <w:sz w:val="16"/>
                <w:szCs w:val="20"/>
                <w:lang w:val="en-GB" w:eastAsia="en-GB"/>
              </w:rPr>
              <w:t>kg CO</w:t>
            </w:r>
            <w:r w:rsidRPr="00E949B4">
              <w:rPr>
                <w:rFonts w:eastAsia="Times New Roman" w:cs="Times New Roman"/>
                <w:color w:val="000000"/>
                <w:sz w:val="16"/>
                <w:szCs w:val="20"/>
                <w:vertAlign w:val="subscript"/>
                <w:lang w:val="en-GB" w:eastAsia="en-GB"/>
              </w:rPr>
              <w:t>2</w:t>
            </w:r>
            <w:r w:rsidRPr="00E949B4">
              <w:rPr>
                <w:rFonts w:eastAsia="Times New Roman" w:cs="Times New Roman"/>
                <w:color w:val="000000"/>
                <w:sz w:val="16"/>
                <w:szCs w:val="20"/>
                <w:lang w:val="en-GB" w:eastAsia="en-GB"/>
              </w:rPr>
              <w:t>-eq.</w:t>
            </w:r>
            <w:r>
              <w:rPr>
                <w:rFonts w:eastAsia="Times New Roman" w:cs="Times New Roman"/>
                <w:color w:val="000000"/>
                <w:sz w:val="16"/>
                <w:szCs w:val="20"/>
                <w:lang w:val="en-GB" w:eastAsia="en-GB"/>
              </w:rPr>
              <w:t>)</w:t>
            </w:r>
          </w:p>
        </w:tc>
        <w:tc>
          <w:tcPr>
            <w:tcW w:w="530"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Arial"/>
                <w:color w:val="000000"/>
                <w:sz w:val="16"/>
                <w:szCs w:val="20"/>
                <w:lang w:val="en-GB" w:eastAsia="en-GB"/>
              </w:rPr>
            </w:pPr>
            <w:r w:rsidRPr="00E949B4">
              <w:rPr>
                <w:rFonts w:eastAsia="Times New Roman" w:cs="Arial"/>
                <w:color w:val="000000"/>
                <w:sz w:val="16"/>
                <w:szCs w:val="20"/>
                <w:lang w:val="en-GB" w:eastAsia="en-GB"/>
              </w:rPr>
              <w:t>-163</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Arial"/>
                <w:color w:val="000000"/>
                <w:sz w:val="16"/>
                <w:szCs w:val="20"/>
                <w:lang w:val="en-GB" w:eastAsia="en-GB"/>
              </w:rPr>
            </w:pPr>
            <w:r w:rsidRPr="00E949B4">
              <w:rPr>
                <w:rFonts w:eastAsia="Times New Roman" w:cs="Arial"/>
                <w:color w:val="000000"/>
                <w:sz w:val="16"/>
                <w:szCs w:val="20"/>
                <w:lang w:val="en-GB" w:eastAsia="en-GB"/>
              </w:rPr>
              <w:t>8</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Arial"/>
                <w:color w:val="000000"/>
                <w:sz w:val="16"/>
                <w:szCs w:val="20"/>
                <w:lang w:val="en-GB" w:eastAsia="en-GB"/>
              </w:rPr>
            </w:pPr>
            <w:r w:rsidRPr="00E949B4">
              <w:rPr>
                <w:rFonts w:eastAsia="Times New Roman" w:cs="Arial"/>
                <w:color w:val="000000"/>
                <w:sz w:val="16"/>
                <w:szCs w:val="20"/>
                <w:lang w:val="en-GB" w:eastAsia="en-GB"/>
              </w:rPr>
              <w:t>63</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Arial"/>
                <w:color w:val="000000"/>
                <w:sz w:val="16"/>
                <w:szCs w:val="20"/>
                <w:lang w:val="en-GB" w:eastAsia="en-GB"/>
              </w:rPr>
            </w:pPr>
            <w:r w:rsidRPr="00E949B4">
              <w:rPr>
                <w:rFonts w:eastAsia="Times New Roman" w:cs="Arial"/>
                <w:color w:val="000000"/>
                <w:sz w:val="16"/>
                <w:szCs w:val="20"/>
                <w:lang w:val="en-GB" w:eastAsia="en-GB"/>
              </w:rPr>
              <w:t>15</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Arial"/>
                <w:color w:val="000000"/>
                <w:sz w:val="16"/>
                <w:szCs w:val="20"/>
                <w:lang w:val="en-GB" w:eastAsia="en-GB"/>
              </w:rPr>
            </w:pPr>
            <w:r w:rsidRPr="00E949B4">
              <w:rPr>
                <w:rFonts w:eastAsia="Times New Roman" w:cs="Arial"/>
                <w:color w:val="000000"/>
                <w:sz w:val="16"/>
                <w:szCs w:val="20"/>
                <w:lang w:val="en-GB" w:eastAsia="en-GB"/>
              </w:rPr>
              <w:t>8</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Arial"/>
                <w:color w:val="000000"/>
                <w:sz w:val="16"/>
                <w:szCs w:val="20"/>
                <w:lang w:val="en-GB" w:eastAsia="en-GB"/>
              </w:rPr>
            </w:pPr>
            <w:r w:rsidRPr="00E949B4">
              <w:rPr>
                <w:rFonts w:eastAsia="Times New Roman" w:cs="Arial"/>
                <w:color w:val="000000"/>
                <w:sz w:val="16"/>
                <w:szCs w:val="20"/>
                <w:lang w:val="en-GB" w:eastAsia="en-GB"/>
              </w:rPr>
              <w:t>456</w:t>
            </w:r>
          </w:p>
        </w:tc>
        <w:tc>
          <w:tcPr>
            <w:tcW w:w="67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Arial"/>
                <w:color w:val="000000"/>
                <w:sz w:val="16"/>
                <w:szCs w:val="20"/>
                <w:lang w:val="en-GB" w:eastAsia="en-GB"/>
              </w:rPr>
            </w:pPr>
            <w:r w:rsidRPr="00E949B4">
              <w:rPr>
                <w:rFonts w:eastAsia="Times New Roman" w:cs="Arial"/>
                <w:color w:val="000000"/>
                <w:sz w:val="16"/>
                <w:szCs w:val="20"/>
                <w:lang w:val="en-GB" w:eastAsia="en-GB"/>
              </w:rPr>
              <w:t>-112</w:t>
            </w:r>
          </w:p>
        </w:tc>
      </w:tr>
      <w:tr w:rsidR="00C56DCC" w:rsidRPr="00E949B4" w:rsidTr="00FA25AE">
        <w:trPr>
          <w:trHeight w:val="270"/>
        </w:trPr>
        <w:tc>
          <w:tcPr>
            <w:tcW w:w="1143" w:type="pct"/>
            <w:tcBorders>
              <w:top w:val="nil"/>
              <w:left w:val="single" w:sz="8" w:space="0" w:color="auto"/>
              <w:bottom w:val="single" w:sz="8" w:space="0" w:color="auto"/>
              <w:right w:val="single" w:sz="8" w:space="0" w:color="auto"/>
            </w:tcBorders>
            <w:shd w:val="clear" w:color="auto" w:fill="auto"/>
            <w:noWrap/>
            <w:vAlign w:val="center"/>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 xml:space="preserve">GWP* </w:t>
            </w:r>
            <w:r>
              <w:rPr>
                <w:rFonts w:eastAsia="Times New Roman" w:cs="Times New Roman"/>
                <w:color w:val="000000"/>
                <w:sz w:val="16"/>
                <w:szCs w:val="20"/>
                <w:lang w:val="en-GB" w:eastAsia="en-GB"/>
              </w:rPr>
              <w:t>(</w:t>
            </w:r>
            <w:r w:rsidRPr="00E949B4">
              <w:rPr>
                <w:rFonts w:eastAsia="Times New Roman" w:cs="Times New Roman"/>
                <w:color w:val="000000"/>
                <w:sz w:val="16"/>
                <w:szCs w:val="20"/>
                <w:lang w:val="en-GB" w:eastAsia="en-GB"/>
              </w:rPr>
              <w:t>kg CO</w:t>
            </w:r>
            <w:r w:rsidRPr="00E949B4">
              <w:rPr>
                <w:rFonts w:eastAsia="Times New Roman" w:cs="Times New Roman"/>
                <w:color w:val="000000"/>
                <w:sz w:val="16"/>
                <w:szCs w:val="20"/>
                <w:vertAlign w:val="subscript"/>
                <w:lang w:val="en-GB" w:eastAsia="en-GB"/>
              </w:rPr>
              <w:t>2</w:t>
            </w:r>
            <w:r w:rsidRPr="00E949B4">
              <w:rPr>
                <w:rFonts w:eastAsia="Times New Roman" w:cs="Times New Roman"/>
                <w:color w:val="000000"/>
                <w:sz w:val="16"/>
                <w:szCs w:val="20"/>
                <w:lang w:val="en-GB" w:eastAsia="en-GB"/>
              </w:rPr>
              <w:t>-eq.</w:t>
            </w:r>
            <w:r>
              <w:rPr>
                <w:rFonts w:eastAsia="Times New Roman" w:cs="Times New Roman"/>
                <w:color w:val="000000"/>
                <w:sz w:val="16"/>
                <w:szCs w:val="20"/>
                <w:lang w:val="en-GB" w:eastAsia="en-GB"/>
              </w:rPr>
              <w:t>)</w:t>
            </w:r>
          </w:p>
        </w:tc>
        <w:tc>
          <w:tcPr>
            <w:tcW w:w="530" w:type="pct"/>
            <w:tcBorders>
              <w:top w:val="nil"/>
              <w:left w:val="nil"/>
              <w:bottom w:val="single" w:sz="8" w:space="0" w:color="auto"/>
              <w:right w:val="single" w:sz="8" w:space="0" w:color="auto"/>
            </w:tcBorders>
            <w:shd w:val="clear" w:color="auto" w:fill="auto"/>
            <w:noWrap/>
            <w:vAlign w:val="center"/>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Arial"/>
                <w:color w:val="000000"/>
                <w:sz w:val="16"/>
                <w:szCs w:val="20"/>
                <w:lang w:val="en-GB" w:eastAsia="en-GB"/>
              </w:rPr>
              <w:t>214</w:t>
            </w:r>
          </w:p>
        </w:tc>
        <w:tc>
          <w:tcPr>
            <w:tcW w:w="529" w:type="pct"/>
            <w:tcBorders>
              <w:top w:val="nil"/>
              <w:left w:val="nil"/>
              <w:bottom w:val="single" w:sz="8" w:space="0" w:color="auto"/>
              <w:right w:val="single" w:sz="8" w:space="0" w:color="auto"/>
            </w:tcBorders>
            <w:shd w:val="clear" w:color="auto" w:fill="auto"/>
            <w:noWrap/>
            <w:vAlign w:val="center"/>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Arial"/>
                <w:color w:val="000000"/>
                <w:sz w:val="16"/>
                <w:szCs w:val="20"/>
                <w:lang w:val="en-GB" w:eastAsia="en-GB"/>
              </w:rPr>
              <w:t>8</w:t>
            </w:r>
          </w:p>
        </w:tc>
        <w:tc>
          <w:tcPr>
            <w:tcW w:w="529" w:type="pct"/>
            <w:tcBorders>
              <w:top w:val="nil"/>
              <w:left w:val="nil"/>
              <w:bottom w:val="single" w:sz="8" w:space="0" w:color="auto"/>
              <w:right w:val="single" w:sz="8" w:space="0" w:color="auto"/>
            </w:tcBorders>
            <w:shd w:val="clear" w:color="auto" w:fill="auto"/>
            <w:noWrap/>
            <w:vAlign w:val="center"/>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Arial"/>
                <w:color w:val="000000"/>
                <w:sz w:val="16"/>
                <w:szCs w:val="20"/>
                <w:lang w:val="en-GB" w:eastAsia="en-GB"/>
              </w:rPr>
              <w:t>63</w:t>
            </w:r>
          </w:p>
        </w:tc>
        <w:tc>
          <w:tcPr>
            <w:tcW w:w="529" w:type="pct"/>
            <w:tcBorders>
              <w:top w:val="nil"/>
              <w:left w:val="nil"/>
              <w:bottom w:val="single" w:sz="8" w:space="0" w:color="auto"/>
              <w:right w:val="single" w:sz="8" w:space="0" w:color="auto"/>
            </w:tcBorders>
            <w:shd w:val="clear" w:color="auto" w:fill="auto"/>
            <w:noWrap/>
            <w:vAlign w:val="center"/>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Arial"/>
                <w:color w:val="000000"/>
                <w:sz w:val="16"/>
                <w:szCs w:val="20"/>
                <w:lang w:val="en-GB" w:eastAsia="en-GB"/>
              </w:rPr>
              <w:t>15</w:t>
            </w:r>
          </w:p>
        </w:tc>
        <w:tc>
          <w:tcPr>
            <w:tcW w:w="529" w:type="pct"/>
            <w:tcBorders>
              <w:top w:val="nil"/>
              <w:left w:val="nil"/>
              <w:bottom w:val="single" w:sz="8" w:space="0" w:color="auto"/>
              <w:right w:val="single" w:sz="8" w:space="0" w:color="auto"/>
            </w:tcBorders>
            <w:shd w:val="clear" w:color="auto" w:fill="auto"/>
            <w:noWrap/>
            <w:vAlign w:val="center"/>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Arial"/>
                <w:color w:val="000000"/>
                <w:sz w:val="16"/>
                <w:szCs w:val="20"/>
                <w:lang w:val="en-GB" w:eastAsia="en-GB"/>
              </w:rPr>
              <w:t>8</w:t>
            </w:r>
          </w:p>
        </w:tc>
        <w:tc>
          <w:tcPr>
            <w:tcW w:w="529" w:type="pct"/>
            <w:tcBorders>
              <w:top w:val="nil"/>
              <w:left w:val="nil"/>
              <w:bottom w:val="single" w:sz="8" w:space="0" w:color="auto"/>
              <w:right w:val="single" w:sz="8" w:space="0" w:color="auto"/>
            </w:tcBorders>
            <w:shd w:val="clear" w:color="auto" w:fill="auto"/>
            <w:noWrap/>
            <w:vAlign w:val="center"/>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Arial"/>
                <w:color w:val="000000"/>
                <w:sz w:val="16"/>
                <w:szCs w:val="20"/>
                <w:lang w:val="en-GB" w:eastAsia="en-GB"/>
              </w:rPr>
              <w:t>79</w:t>
            </w:r>
          </w:p>
        </w:tc>
        <w:tc>
          <w:tcPr>
            <w:tcW w:w="679" w:type="pct"/>
            <w:tcBorders>
              <w:top w:val="nil"/>
              <w:left w:val="nil"/>
              <w:bottom w:val="single" w:sz="8" w:space="0" w:color="auto"/>
              <w:right w:val="single" w:sz="8" w:space="0" w:color="auto"/>
            </w:tcBorders>
            <w:shd w:val="clear" w:color="auto" w:fill="auto"/>
            <w:noWrap/>
            <w:vAlign w:val="center"/>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Arial"/>
                <w:color w:val="000000"/>
                <w:sz w:val="16"/>
                <w:szCs w:val="20"/>
                <w:lang w:val="en-GB" w:eastAsia="en-GB"/>
              </w:rPr>
              <w:t>-112</w:t>
            </w:r>
          </w:p>
        </w:tc>
      </w:tr>
      <w:tr w:rsidR="00C56DCC" w:rsidRPr="00E949B4" w:rsidTr="00FA25AE">
        <w:trPr>
          <w:trHeight w:val="270"/>
        </w:trPr>
        <w:tc>
          <w:tcPr>
            <w:tcW w:w="1143" w:type="pct"/>
            <w:tcBorders>
              <w:top w:val="nil"/>
              <w:left w:val="single" w:sz="8" w:space="0" w:color="auto"/>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 xml:space="preserve">ODP </w:t>
            </w:r>
            <w:r>
              <w:rPr>
                <w:rFonts w:eastAsia="Times New Roman" w:cs="Times New Roman"/>
                <w:color w:val="000000"/>
                <w:sz w:val="16"/>
                <w:szCs w:val="20"/>
                <w:lang w:val="en-GB" w:eastAsia="en-GB"/>
              </w:rPr>
              <w:t>(</w:t>
            </w:r>
            <w:r w:rsidRPr="00E949B4">
              <w:rPr>
                <w:rFonts w:eastAsia="Times New Roman" w:cs="Times New Roman"/>
                <w:color w:val="000000"/>
                <w:sz w:val="16"/>
                <w:szCs w:val="20"/>
                <w:lang w:val="en-GB" w:eastAsia="en-GB"/>
              </w:rPr>
              <w:t>kg CFC11- eq.</w:t>
            </w:r>
            <w:r>
              <w:rPr>
                <w:rFonts w:eastAsia="Times New Roman" w:cs="Times New Roman"/>
                <w:color w:val="000000"/>
                <w:sz w:val="16"/>
                <w:szCs w:val="20"/>
                <w:lang w:val="en-GB" w:eastAsia="en-GB"/>
              </w:rPr>
              <w:t>)</w:t>
            </w:r>
          </w:p>
        </w:tc>
        <w:tc>
          <w:tcPr>
            <w:tcW w:w="530"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1.55E-05</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9.28E-07</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4.83E-06</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2.37E-06</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1.24E-06</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5.47E-07</w:t>
            </w:r>
          </w:p>
        </w:tc>
        <w:tc>
          <w:tcPr>
            <w:tcW w:w="67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-1.62E-05</w:t>
            </w:r>
          </w:p>
        </w:tc>
      </w:tr>
      <w:tr w:rsidR="00C56DCC" w:rsidRPr="00E949B4" w:rsidTr="00FA25AE">
        <w:trPr>
          <w:trHeight w:val="270"/>
        </w:trPr>
        <w:tc>
          <w:tcPr>
            <w:tcW w:w="1143" w:type="pct"/>
            <w:tcBorders>
              <w:top w:val="nil"/>
              <w:left w:val="single" w:sz="8" w:space="0" w:color="auto"/>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 xml:space="preserve">AP </w:t>
            </w:r>
            <w:r>
              <w:rPr>
                <w:rFonts w:eastAsia="Times New Roman" w:cs="Times New Roman"/>
                <w:color w:val="000000"/>
                <w:sz w:val="16"/>
                <w:szCs w:val="20"/>
                <w:lang w:val="en-GB" w:eastAsia="en-GB"/>
              </w:rPr>
              <w:t>(</w:t>
            </w:r>
            <w:r w:rsidRPr="00E949B4">
              <w:rPr>
                <w:rFonts w:eastAsia="Times New Roman" w:cs="Times New Roman"/>
                <w:color w:val="000000"/>
                <w:sz w:val="16"/>
                <w:szCs w:val="20"/>
                <w:lang w:val="en-GB" w:eastAsia="en-GB"/>
              </w:rPr>
              <w:t>kg SO</w:t>
            </w:r>
            <w:r w:rsidRPr="00E949B4">
              <w:rPr>
                <w:rFonts w:eastAsia="Times New Roman" w:cs="Times New Roman"/>
                <w:color w:val="000000"/>
                <w:sz w:val="16"/>
                <w:szCs w:val="20"/>
                <w:vertAlign w:val="subscript"/>
                <w:lang w:val="en-GB" w:eastAsia="en-GB"/>
              </w:rPr>
              <w:t>2</w:t>
            </w:r>
            <w:r w:rsidRPr="00E949B4">
              <w:rPr>
                <w:rFonts w:eastAsia="Times New Roman" w:cs="Times New Roman"/>
                <w:color w:val="000000"/>
                <w:sz w:val="16"/>
                <w:szCs w:val="20"/>
                <w:lang w:val="en-GB" w:eastAsia="en-GB"/>
              </w:rPr>
              <w:t>- eq.</w:t>
            </w:r>
            <w:r>
              <w:rPr>
                <w:rFonts w:eastAsia="Times New Roman" w:cs="Times New Roman"/>
                <w:color w:val="000000"/>
                <w:sz w:val="16"/>
                <w:szCs w:val="20"/>
                <w:lang w:val="en-GB" w:eastAsia="en-GB"/>
              </w:rPr>
              <w:t>)</w:t>
            </w:r>
          </w:p>
        </w:tc>
        <w:tc>
          <w:tcPr>
            <w:tcW w:w="530"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1.00</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0.04</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0.30</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0.08</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0.04</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0.10</w:t>
            </w:r>
          </w:p>
        </w:tc>
        <w:tc>
          <w:tcPr>
            <w:tcW w:w="67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-0.29</w:t>
            </w:r>
          </w:p>
        </w:tc>
      </w:tr>
      <w:tr w:rsidR="00C56DCC" w:rsidRPr="00E949B4" w:rsidTr="00FA25AE">
        <w:trPr>
          <w:trHeight w:val="270"/>
        </w:trPr>
        <w:tc>
          <w:tcPr>
            <w:tcW w:w="1143" w:type="pct"/>
            <w:tcBorders>
              <w:top w:val="nil"/>
              <w:left w:val="single" w:sz="8" w:space="0" w:color="auto"/>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 xml:space="preserve">EP </w:t>
            </w:r>
            <w:r>
              <w:rPr>
                <w:rFonts w:eastAsia="Times New Roman" w:cs="Times New Roman"/>
                <w:color w:val="000000"/>
                <w:sz w:val="16"/>
                <w:szCs w:val="20"/>
                <w:lang w:val="en-GB" w:eastAsia="en-GB"/>
              </w:rPr>
              <w:t>(</w:t>
            </w:r>
            <w:r w:rsidRPr="00E949B4">
              <w:rPr>
                <w:rFonts w:eastAsia="Times New Roman" w:cs="Times New Roman"/>
                <w:color w:val="000000"/>
                <w:sz w:val="16"/>
                <w:szCs w:val="20"/>
                <w:lang w:val="en-GB" w:eastAsia="en-GB"/>
              </w:rPr>
              <w:t>kg PO</w:t>
            </w:r>
            <w:r w:rsidRPr="00E949B4">
              <w:rPr>
                <w:rFonts w:eastAsia="Times New Roman" w:cs="Times New Roman"/>
                <w:color w:val="000000"/>
                <w:sz w:val="16"/>
                <w:szCs w:val="20"/>
                <w:vertAlign w:val="subscript"/>
                <w:lang w:val="en-GB" w:eastAsia="en-GB"/>
              </w:rPr>
              <w:t>–</w:t>
            </w:r>
            <w:r w:rsidRPr="00E949B4">
              <w:rPr>
                <w:rFonts w:eastAsia="Times New Roman" w:cs="Times New Roman"/>
                <w:color w:val="000000"/>
                <w:sz w:val="16"/>
                <w:szCs w:val="20"/>
                <w:vertAlign w:val="superscript"/>
                <w:lang w:val="en-GB" w:eastAsia="en-GB"/>
              </w:rPr>
              <w:t>3</w:t>
            </w:r>
            <w:r w:rsidRPr="00E949B4">
              <w:rPr>
                <w:rFonts w:eastAsia="Times New Roman" w:cs="Times New Roman"/>
                <w:color w:val="000000"/>
                <w:sz w:val="16"/>
                <w:szCs w:val="20"/>
                <w:lang w:val="en-GB" w:eastAsia="en-GB"/>
              </w:rPr>
              <w:t xml:space="preserve"> - eq.</w:t>
            </w:r>
            <w:r>
              <w:rPr>
                <w:rFonts w:eastAsia="Times New Roman" w:cs="Times New Roman"/>
                <w:color w:val="000000"/>
                <w:sz w:val="16"/>
                <w:szCs w:val="20"/>
                <w:lang w:val="en-GB" w:eastAsia="en-GB"/>
              </w:rPr>
              <w:t>)</w:t>
            </w:r>
          </w:p>
        </w:tc>
        <w:tc>
          <w:tcPr>
            <w:tcW w:w="530"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0.30</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0.01</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0.15</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0.02</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0.01</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0.04</w:t>
            </w:r>
          </w:p>
        </w:tc>
        <w:tc>
          <w:tcPr>
            <w:tcW w:w="67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-0.08</w:t>
            </w:r>
          </w:p>
        </w:tc>
      </w:tr>
      <w:tr w:rsidR="00C56DCC" w:rsidRPr="00E949B4" w:rsidTr="00FA25AE">
        <w:trPr>
          <w:trHeight w:val="270"/>
        </w:trPr>
        <w:tc>
          <w:tcPr>
            <w:tcW w:w="1143" w:type="pct"/>
            <w:tcBorders>
              <w:top w:val="nil"/>
              <w:left w:val="single" w:sz="8" w:space="0" w:color="auto"/>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 xml:space="preserve">POCP </w:t>
            </w:r>
            <w:r>
              <w:rPr>
                <w:rFonts w:eastAsia="Times New Roman" w:cs="Times New Roman"/>
                <w:color w:val="000000"/>
                <w:sz w:val="16"/>
                <w:szCs w:val="20"/>
                <w:lang w:val="en-GB" w:eastAsia="en-GB"/>
              </w:rPr>
              <w:t>(</w:t>
            </w:r>
            <w:r w:rsidRPr="00E949B4">
              <w:rPr>
                <w:rFonts w:eastAsia="Times New Roman" w:cs="Times New Roman"/>
                <w:color w:val="000000"/>
                <w:sz w:val="16"/>
                <w:szCs w:val="20"/>
                <w:lang w:val="en-GB" w:eastAsia="en-GB"/>
              </w:rPr>
              <w:t>kg Ethen- eq.</w:t>
            </w:r>
            <w:r>
              <w:rPr>
                <w:rFonts w:eastAsia="Times New Roman" w:cs="Times New Roman"/>
                <w:color w:val="000000"/>
                <w:sz w:val="16"/>
                <w:szCs w:val="20"/>
                <w:lang w:val="en-GB" w:eastAsia="en-GB"/>
              </w:rPr>
              <w:t>)</w:t>
            </w:r>
          </w:p>
        </w:tc>
        <w:tc>
          <w:tcPr>
            <w:tcW w:w="530"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Arial"/>
                <w:color w:val="000000"/>
                <w:sz w:val="16"/>
                <w:szCs w:val="20"/>
                <w:lang w:val="en-GB" w:eastAsia="en-GB"/>
              </w:rPr>
            </w:pPr>
            <w:r w:rsidRPr="00E949B4">
              <w:rPr>
                <w:rFonts w:eastAsia="Times New Roman" w:cs="Arial"/>
                <w:color w:val="000000"/>
                <w:sz w:val="16"/>
                <w:szCs w:val="20"/>
                <w:lang w:val="en-GB" w:eastAsia="en-GB"/>
              </w:rPr>
              <w:t>5.70E-02</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Arial"/>
                <w:color w:val="000000"/>
                <w:sz w:val="16"/>
                <w:szCs w:val="20"/>
                <w:lang w:val="en-GB" w:eastAsia="en-GB"/>
              </w:rPr>
            </w:pPr>
            <w:r w:rsidRPr="00E949B4">
              <w:rPr>
                <w:rFonts w:eastAsia="Times New Roman" w:cs="Arial"/>
                <w:color w:val="000000"/>
                <w:sz w:val="16"/>
                <w:szCs w:val="20"/>
                <w:lang w:val="en-GB" w:eastAsia="en-GB"/>
              </w:rPr>
              <w:t>1.43E-03</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1.29E-02</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Arial"/>
                <w:color w:val="000000"/>
                <w:sz w:val="16"/>
                <w:szCs w:val="20"/>
                <w:lang w:val="en-GB" w:eastAsia="en-GB"/>
              </w:rPr>
            </w:pPr>
            <w:r w:rsidRPr="00E949B4">
              <w:rPr>
                <w:rFonts w:eastAsia="Times New Roman" w:cs="Arial"/>
                <w:color w:val="000000"/>
                <w:sz w:val="16"/>
                <w:szCs w:val="20"/>
                <w:lang w:val="en-GB" w:eastAsia="en-GB"/>
              </w:rPr>
              <w:t>2.38E-03</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Arial"/>
                <w:color w:val="000000"/>
                <w:sz w:val="16"/>
                <w:szCs w:val="20"/>
                <w:lang w:val="en-GB" w:eastAsia="en-GB"/>
              </w:rPr>
            </w:pPr>
            <w:r w:rsidRPr="00E949B4">
              <w:rPr>
                <w:rFonts w:eastAsia="Times New Roman" w:cs="Arial"/>
                <w:color w:val="000000"/>
                <w:sz w:val="16"/>
                <w:szCs w:val="20"/>
                <w:lang w:val="en-GB" w:eastAsia="en-GB"/>
              </w:rPr>
              <w:t>1.42E-03</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Arial"/>
                <w:color w:val="000000"/>
                <w:sz w:val="16"/>
                <w:szCs w:val="20"/>
                <w:lang w:val="en-GB" w:eastAsia="en-GB"/>
              </w:rPr>
            </w:pPr>
            <w:r w:rsidRPr="00E949B4">
              <w:rPr>
                <w:rFonts w:eastAsia="Times New Roman" w:cs="Arial"/>
                <w:color w:val="000000"/>
                <w:sz w:val="16"/>
                <w:szCs w:val="20"/>
                <w:lang w:val="en-GB" w:eastAsia="en-GB"/>
              </w:rPr>
              <w:t>1.27E-03</w:t>
            </w:r>
          </w:p>
        </w:tc>
        <w:tc>
          <w:tcPr>
            <w:tcW w:w="67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Arial"/>
                <w:color w:val="000000"/>
                <w:sz w:val="16"/>
                <w:szCs w:val="20"/>
                <w:lang w:val="en-GB" w:eastAsia="en-GB"/>
              </w:rPr>
            </w:pPr>
            <w:r w:rsidRPr="00E949B4">
              <w:rPr>
                <w:rFonts w:eastAsia="Times New Roman" w:cs="Arial"/>
                <w:color w:val="000000"/>
                <w:sz w:val="16"/>
                <w:szCs w:val="20"/>
                <w:lang w:val="en-GB" w:eastAsia="en-GB"/>
              </w:rPr>
              <w:t>-1.40E-02</w:t>
            </w:r>
          </w:p>
        </w:tc>
      </w:tr>
      <w:tr w:rsidR="00C56DCC" w:rsidRPr="00E949B4" w:rsidTr="00FA25AE">
        <w:trPr>
          <w:trHeight w:val="270"/>
        </w:trPr>
        <w:tc>
          <w:tcPr>
            <w:tcW w:w="1143" w:type="pct"/>
            <w:tcBorders>
              <w:top w:val="nil"/>
              <w:left w:val="single" w:sz="8" w:space="0" w:color="auto"/>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 xml:space="preserve">ADPE </w:t>
            </w:r>
            <w:r>
              <w:rPr>
                <w:rFonts w:eastAsia="Times New Roman" w:cs="Times New Roman"/>
                <w:color w:val="000000"/>
                <w:sz w:val="16"/>
                <w:szCs w:val="20"/>
                <w:lang w:val="en-GB" w:eastAsia="en-GB"/>
              </w:rPr>
              <w:t>(</w:t>
            </w:r>
            <w:r w:rsidRPr="00E949B4">
              <w:rPr>
                <w:rFonts w:eastAsia="Times New Roman" w:cs="Times New Roman"/>
                <w:color w:val="000000"/>
                <w:sz w:val="16"/>
                <w:szCs w:val="20"/>
                <w:lang w:val="en-GB" w:eastAsia="en-GB"/>
              </w:rPr>
              <w:t>kg Sb- eq.</w:t>
            </w:r>
            <w:r>
              <w:rPr>
                <w:rFonts w:eastAsia="Times New Roman" w:cs="Times New Roman"/>
                <w:color w:val="000000"/>
                <w:sz w:val="16"/>
                <w:szCs w:val="20"/>
                <w:lang w:val="en-GB" w:eastAsia="en-GB"/>
              </w:rPr>
              <w:t>)</w:t>
            </w:r>
          </w:p>
        </w:tc>
        <w:tc>
          <w:tcPr>
            <w:tcW w:w="530"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1.96</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0.05</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0.45</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0.11</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0.05</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0.04</w:t>
            </w:r>
          </w:p>
        </w:tc>
        <w:tc>
          <w:tcPr>
            <w:tcW w:w="67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-0.73</w:t>
            </w:r>
          </w:p>
        </w:tc>
      </w:tr>
      <w:tr w:rsidR="00C56DCC" w:rsidRPr="00E949B4" w:rsidTr="00FA25AE">
        <w:trPr>
          <w:trHeight w:val="270"/>
        </w:trPr>
        <w:tc>
          <w:tcPr>
            <w:tcW w:w="1143" w:type="pct"/>
            <w:tcBorders>
              <w:top w:val="nil"/>
              <w:left w:val="single" w:sz="8" w:space="0" w:color="auto"/>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 xml:space="preserve">ADPF </w:t>
            </w:r>
            <w:r>
              <w:rPr>
                <w:rFonts w:eastAsia="Times New Roman" w:cs="Times New Roman"/>
                <w:color w:val="000000"/>
                <w:sz w:val="16"/>
                <w:szCs w:val="20"/>
                <w:lang w:val="en-GB" w:eastAsia="en-GB"/>
              </w:rPr>
              <w:t>(</w:t>
            </w:r>
            <w:r w:rsidRPr="00E949B4">
              <w:rPr>
                <w:rFonts w:eastAsia="Times New Roman" w:cs="Times New Roman"/>
                <w:color w:val="000000"/>
                <w:sz w:val="16"/>
                <w:szCs w:val="20"/>
                <w:lang w:val="en-GB" w:eastAsia="en-GB"/>
              </w:rPr>
              <w:t>MJ</w:t>
            </w:r>
            <w:r>
              <w:rPr>
                <w:rFonts w:eastAsia="Times New Roman" w:cs="Times New Roman"/>
                <w:color w:val="000000"/>
                <w:sz w:val="16"/>
                <w:szCs w:val="20"/>
                <w:lang w:val="en-GB" w:eastAsia="en-GB"/>
              </w:rPr>
              <w:t>)</w:t>
            </w:r>
          </w:p>
        </w:tc>
        <w:tc>
          <w:tcPr>
            <w:tcW w:w="530"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4009</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110</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817</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233</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118</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70</w:t>
            </w:r>
          </w:p>
        </w:tc>
        <w:tc>
          <w:tcPr>
            <w:tcW w:w="67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-1571</w:t>
            </w:r>
          </w:p>
        </w:tc>
      </w:tr>
      <w:tr w:rsidR="00C56DCC" w:rsidRPr="00E949B4" w:rsidTr="00FA25AE">
        <w:trPr>
          <w:trHeight w:val="270"/>
        </w:trPr>
        <w:tc>
          <w:tcPr>
            <w:tcW w:w="1143" w:type="pct"/>
            <w:tcBorders>
              <w:top w:val="nil"/>
              <w:left w:val="single" w:sz="8" w:space="0" w:color="auto"/>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proofErr w:type="spellStart"/>
            <w:r w:rsidRPr="00E949B4">
              <w:rPr>
                <w:rFonts w:eastAsia="Times New Roman" w:cs="Times New Roman"/>
                <w:color w:val="000000"/>
                <w:sz w:val="16"/>
                <w:szCs w:val="20"/>
                <w:lang w:val="en-GB" w:eastAsia="en-GB"/>
              </w:rPr>
              <w:t>USETox</w:t>
            </w:r>
            <w:proofErr w:type="spellEnd"/>
            <w:r w:rsidRPr="00E949B4">
              <w:rPr>
                <w:rFonts w:eastAsia="Times New Roman" w:cs="Times New Roman"/>
                <w:color w:val="000000"/>
                <w:sz w:val="16"/>
                <w:szCs w:val="20"/>
                <w:lang w:val="en-GB" w:eastAsia="en-GB"/>
              </w:rPr>
              <w:t xml:space="preserve"> </w:t>
            </w:r>
            <w:r>
              <w:rPr>
                <w:rFonts w:eastAsia="Times New Roman" w:cs="Times New Roman"/>
                <w:color w:val="000000"/>
                <w:sz w:val="16"/>
                <w:szCs w:val="20"/>
                <w:lang w:val="en-GB" w:eastAsia="en-GB"/>
              </w:rPr>
              <w:t>(</w:t>
            </w:r>
            <w:proofErr w:type="spellStart"/>
            <w:r w:rsidRPr="00E949B4">
              <w:rPr>
                <w:rFonts w:eastAsia="Times New Roman" w:cs="Times New Roman"/>
                <w:color w:val="000000"/>
                <w:sz w:val="16"/>
                <w:szCs w:val="20"/>
                <w:lang w:val="en-GB" w:eastAsia="en-GB"/>
              </w:rPr>
              <w:t>CTUe</w:t>
            </w:r>
            <w:proofErr w:type="spellEnd"/>
            <w:r>
              <w:rPr>
                <w:rFonts w:eastAsia="Times New Roman" w:cs="Times New Roman"/>
                <w:color w:val="000000"/>
                <w:sz w:val="16"/>
                <w:szCs w:val="20"/>
                <w:lang w:val="en-GB" w:eastAsia="en-GB"/>
              </w:rPr>
              <w:t>)</w:t>
            </w:r>
          </w:p>
        </w:tc>
        <w:tc>
          <w:tcPr>
            <w:tcW w:w="530"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124</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6</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48</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9</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1</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27</w:t>
            </w:r>
          </w:p>
        </w:tc>
        <w:tc>
          <w:tcPr>
            <w:tcW w:w="67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-20</w:t>
            </w:r>
          </w:p>
        </w:tc>
      </w:tr>
      <w:tr w:rsidR="00C56DCC" w:rsidRPr="00E949B4" w:rsidTr="00FA25AE">
        <w:trPr>
          <w:trHeight w:val="270"/>
        </w:trPr>
        <w:tc>
          <w:tcPr>
            <w:tcW w:w="1143" w:type="pct"/>
            <w:tcBorders>
              <w:top w:val="nil"/>
              <w:left w:val="single" w:sz="8" w:space="0" w:color="auto"/>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 xml:space="preserve">Ecological Scarcity </w:t>
            </w:r>
            <w:r>
              <w:rPr>
                <w:rFonts w:eastAsia="Times New Roman" w:cs="Times New Roman"/>
                <w:color w:val="000000"/>
                <w:sz w:val="16"/>
                <w:szCs w:val="20"/>
                <w:lang w:val="en-GB" w:eastAsia="en-GB"/>
              </w:rPr>
              <w:t>(</w:t>
            </w:r>
            <w:r w:rsidRPr="00E949B4">
              <w:rPr>
                <w:rFonts w:eastAsia="Times New Roman" w:cs="Times New Roman"/>
                <w:color w:val="000000"/>
                <w:sz w:val="16"/>
                <w:szCs w:val="20"/>
                <w:lang w:val="en-GB" w:eastAsia="en-GB"/>
              </w:rPr>
              <w:t>UBP</w:t>
            </w:r>
            <w:r>
              <w:rPr>
                <w:rFonts w:eastAsia="Times New Roman" w:cs="Times New Roman"/>
                <w:color w:val="000000"/>
                <w:sz w:val="16"/>
                <w:szCs w:val="20"/>
                <w:lang w:val="en-GB" w:eastAsia="en-GB"/>
              </w:rPr>
              <w:t>)</w:t>
            </w:r>
          </w:p>
        </w:tc>
        <w:tc>
          <w:tcPr>
            <w:tcW w:w="530"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2.17E+05</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8.83E+03</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7.53E+04</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1.62E+04</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9.20E+03</w:t>
            </w:r>
          </w:p>
        </w:tc>
        <w:tc>
          <w:tcPr>
            <w:tcW w:w="52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2.59E+05</w:t>
            </w:r>
          </w:p>
        </w:tc>
        <w:tc>
          <w:tcPr>
            <w:tcW w:w="679" w:type="pct"/>
            <w:tcBorders>
              <w:top w:val="nil"/>
              <w:left w:val="nil"/>
              <w:bottom w:val="single" w:sz="8" w:space="0" w:color="auto"/>
              <w:right w:val="single" w:sz="8" w:space="0" w:color="auto"/>
            </w:tcBorders>
            <w:shd w:val="clear" w:color="auto" w:fill="auto"/>
            <w:noWrap/>
            <w:vAlign w:val="center"/>
            <w:hideMark/>
          </w:tcPr>
          <w:p w:rsidR="00C56DCC" w:rsidRPr="00E949B4" w:rsidRDefault="00C56DCC" w:rsidP="00FA25AE">
            <w:pPr>
              <w:spacing w:after="0" w:line="240" w:lineRule="auto"/>
              <w:jc w:val="both"/>
              <w:rPr>
                <w:rFonts w:eastAsia="Times New Roman" w:cs="Times New Roman"/>
                <w:color w:val="000000"/>
                <w:sz w:val="16"/>
                <w:szCs w:val="20"/>
                <w:lang w:val="en-GB" w:eastAsia="en-GB"/>
              </w:rPr>
            </w:pPr>
            <w:r w:rsidRPr="00E949B4">
              <w:rPr>
                <w:rFonts w:eastAsia="Times New Roman" w:cs="Times New Roman"/>
                <w:color w:val="000000"/>
                <w:sz w:val="16"/>
                <w:szCs w:val="20"/>
                <w:lang w:val="en-GB" w:eastAsia="en-GB"/>
              </w:rPr>
              <w:t>-1.02E+05</w:t>
            </w:r>
          </w:p>
        </w:tc>
      </w:tr>
    </w:tbl>
    <w:p w:rsidR="00C56DCC" w:rsidRDefault="00C56DCC" w:rsidP="00C56DCC">
      <w:pPr>
        <w:jc w:val="both"/>
        <w:rPr>
          <w:lang w:val="en-GB"/>
        </w:rPr>
      </w:pPr>
    </w:p>
    <w:p w:rsidR="00C56DCC" w:rsidRDefault="00C56DCC" w:rsidP="00C56DCC"/>
    <w:p w:rsidR="00C56DCC" w:rsidRPr="00923391" w:rsidRDefault="00C56DCC" w:rsidP="000F72CD">
      <w:pPr>
        <w:jc w:val="both"/>
        <w:rPr>
          <w:lang w:val="en-GB"/>
        </w:rPr>
      </w:pPr>
      <w:bookmarkStart w:id="1" w:name="_GoBack"/>
      <w:bookmarkEnd w:id="1"/>
    </w:p>
    <w:p w:rsidR="00170F57" w:rsidRPr="00C56DCC" w:rsidRDefault="004E6E3E">
      <w:pPr>
        <w:rPr>
          <w:lang w:val="en-GB"/>
        </w:rPr>
      </w:pPr>
    </w:p>
    <w:sectPr w:rsidR="00170F57" w:rsidRPr="00C56D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28"/>
    <w:rsid w:val="000F72CD"/>
    <w:rsid w:val="00C33028"/>
    <w:rsid w:val="00C56DCC"/>
    <w:rsid w:val="00CB644B"/>
    <w:rsid w:val="00D44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CD"/>
    <w:rPr>
      <w:rFonts w:asciiTheme="majorHAnsi" w:eastAsiaTheme="majorEastAsia" w:hAnsiTheme="majorHAnsi" w:cstheme="majorBidi"/>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2CD"/>
    <w:rPr>
      <w:sz w:val="16"/>
      <w:szCs w:val="16"/>
    </w:rPr>
  </w:style>
  <w:style w:type="paragraph" w:styleId="CommentText">
    <w:name w:val="annotation text"/>
    <w:basedOn w:val="Normal"/>
    <w:link w:val="CommentTextChar"/>
    <w:uiPriority w:val="99"/>
    <w:semiHidden/>
    <w:unhideWhenUsed/>
    <w:rsid w:val="000F72CD"/>
    <w:pPr>
      <w:spacing w:line="240" w:lineRule="auto"/>
    </w:pPr>
    <w:rPr>
      <w:sz w:val="20"/>
      <w:szCs w:val="20"/>
    </w:rPr>
  </w:style>
  <w:style w:type="character" w:customStyle="1" w:styleId="CommentTextChar">
    <w:name w:val="Comment Text Char"/>
    <w:basedOn w:val="DefaultParagraphFont"/>
    <w:link w:val="CommentText"/>
    <w:uiPriority w:val="99"/>
    <w:semiHidden/>
    <w:rsid w:val="000F72CD"/>
    <w:rPr>
      <w:rFonts w:asciiTheme="majorHAnsi" w:eastAsiaTheme="majorEastAsia" w:hAnsiTheme="majorHAnsi" w:cstheme="majorBidi"/>
      <w:sz w:val="20"/>
      <w:szCs w:val="20"/>
      <w:lang w:val="de-DE"/>
    </w:rPr>
  </w:style>
  <w:style w:type="table" w:styleId="TableGrid">
    <w:name w:val="Table Grid"/>
    <w:basedOn w:val="TableNormal"/>
    <w:uiPriority w:val="59"/>
    <w:rsid w:val="000F72CD"/>
    <w:pPr>
      <w:spacing w:after="0" w:line="240" w:lineRule="auto"/>
    </w:pPr>
    <w:rPr>
      <w:rFonts w:asciiTheme="majorHAnsi" w:eastAsiaTheme="majorEastAsia" w:hAnsiTheme="majorHAnsi" w:cstheme="majorBid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2CD"/>
    <w:rPr>
      <w:rFonts w:ascii="Tahoma" w:eastAsiaTheme="majorEastAsia" w:hAnsi="Tahoma" w:cs="Tahoma"/>
      <w:sz w:val="16"/>
      <w:szCs w:val="16"/>
      <w:lang w:val="de-DE"/>
    </w:rPr>
  </w:style>
  <w:style w:type="paragraph" w:styleId="Caption">
    <w:name w:val="caption"/>
    <w:basedOn w:val="Normal"/>
    <w:next w:val="Normal"/>
    <w:uiPriority w:val="35"/>
    <w:unhideWhenUsed/>
    <w:qFormat/>
    <w:rsid w:val="00C56DCC"/>
    <w:pPr>
      <w:spacing w:line="240" w:lineRule="auto"/>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CD"/>
    <w:rPr>
      <w:rFonts w:asciiTheme="majorHAnsi" w:eastAsiaTheme="majorEastAsia" w:hAnsiTheme="majorHAnsi" w:cstheme="majorBidi"/>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2CD"/>
    <w:rPr>
      <w:sz w:val="16"/>
      <w:szCs w:val="16"/>
    </w:rPr>
  </w:style>
  <w:style w:type="paragraph" w:styleId="CommentText">
    <w:name w:val="annotation text"/>
    <w:basedOn w:val="Normal"/>
    <w:link w:val="CommentTextChar"/>
    <w:uiPriority w:val="99"/>
    <w:semiHidden/>
    <w:unhideWhenUsed/>
    <w:rsid w:val="000F72CD"/>
    <w:pPr>
      <w:spacing w:line="240" w:lineRule="auto"/>
    </w:pPr>
    <w:rPr>
      <w:sz w:val="20"/>
      <w:szCs w:val="20"/>
    </w:rPr>
  </w:style>
  <w:style w:type="character" w:customStyle="1" w:styleId="CommentTextChar">
    <w:name w:val="Comment Text Char"/>
    <w:basedOn w:val="DefaultParagraphFont"/>
    <w:link w:val="CommentText"/>
    <w:uiPriority w:val="99"/>
    <w:semiHidden/>
    <w:rsid w:val="000F72CD"/>
    <w:rPr>
      <w:rFonts w:asciiTheme="majorHAnsi" w:eastAsiaTheme="majorEastAsia" w:hAnsiTheme="majorHAnsi" w:cstheme="majorBidi"/>
      <w:sz w:val="20"/>
      <w:szCs w:val="20"/>
      <w:lang w:val="de-DE"/>
    </w:rPr>
  </w:style>
  <w:style w:type="table" w:styleId="TableGrid">
    <w:name w:val="Table Grid"/>
    <w:basedOn w:val="TableNormal"/>
    <w:uiPriority w:val="59"/>
    <w:rsid w:val="000F72CD"/>
    <w:pPr>
      <w:spacing w:after="0" w:line="240" w:lineRule="auto"/>
    </w:pPr>
    <w:rPr>
      <w:rFonts w:asciiTheme="majorHAnsi" w:eastAsiaTheme="majorEastAsia" w:hAnsiTheme="majorHAnsi" w:cstheme="majorBid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2CD"/>
    <w:rPr>
      <w:rFonts w:ascii="Tahoma" w:eastAsiaTheme="majorEastAsia" w:hAnsi="Tahoma" w:cs="Tahoma"/>
      <w:sz w:val="16"/>
      <w:szCs w:val="16"/>
      <w:lang w:val="de-DE"/>
    </w:rPr>
  </w:style>
  <w:style w:type="paragraph" w:styleId="Caption">
    <w:name w:val="caption"/>
    <w:basedOn w:val="Normal"/>
    <w:next w:val="Normal"/>
    <w:uiPriority w:val="35"/>
    <w:unhideWhenUsed/>
    <w:qFormat/>
    <w:rsid w:val="00C56DCC"/>
    <w:pPr>
      <w:spacing w:line="240" w:lineRule="auto"/>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Berner Fachhochschule</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Ganne-Chédeville Christelle</dc:creator>
  <cp:lastModifiedBy>Ganne-Chédeville Christelle</cp:lastModifiedBy>
  <cp:revision>2</cp:revision>
  <dcterms:created xsi:type="dcterms:W3CDTF">2015-04-09T15:16:00Z</dcterms:created>
  <dcterms:modified xsi:type="dcterms:W3CDTF">2015-04-09T15:16:00Z</dcterms:modified>
</cp:coreProperties>
</file>