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82" w:rsidRPr="0064655B" w:rsidRDefault="00FB6D59" w:rsidP="00C84B82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FILE 2</w:t>
      </w:r>
      <w:bookmarkStart w:id="0" w:name="_GoBack"/>
      <w:bookmarkEnd w:id="0"/>
    </w:p>
    <w:p w:rsidR="00C84B82" w:rsidRPr="00C84B82" w:rsidRDefault="00C84B82" w:rsidP="00C84B82">
      <w:pPr>
        <w:spacing w:after="0" w:line="480" w:lineRule="auto"/>
        <w:jc w:val="center"/>
        <w:rPr>
          <w:rFonts w:ascii="Times New Roman" w:hAnsi="Times New Roman"/>
          <w:b/>
        </w:rPr>
      </w:pPr>
      <w:r w:rsidRPr="000A4A77">
        <w:rPr>
          <w:rFonts w:ascii="Times New Roman" w:hAnsi="Times New Roman"/>
          <w:b/>
        </w:rPr>
        <w:t xml:space="preserve">HPLC AND SQ-TLC RESULTS FOR </w:t>
      </w:r>
      <w:r>
        <w:rPr>
          <w:rFonts w:ascii="Times New Roman" w:hAnsi="Times New Roman"/>
          <w:b/>
        </w:rPr>
        <w:t>ANTIMALARIAL SAMPLES</w:t>
      </w:r>
    </w:p>
    <w:p w:rsidR="00DF0CA7" w:rsidRDefault="00ED1BC1" w:rsidP="00170EB2">
      <w:pPr>
        <w:jc w:val="both"/>
      </w:pPr>
      <w:r w:rsidRPr="003505D3">
        <w:rPr>
          <w:rFonts w:ascii="Times New Roman" w:hAnsi="Times New Roman"/>
          <w:sz w:val="20"/>
          <w:szCs w:val="20"/>
        </w:rPr>
        <w:t xml:space="preserve">Table </w:t>
      </w:r>
      <w:r w:rsidR="0029444E" w:rsidRPr="003505D3">
        <w:rPr>
          <w:rFonts w:ascii="Times New Roman" w:hAnsi="Times New Roman"/>
          <w:sz w:val="20"/>
          <w:szCs w:val="20"/>
        </w:rPr>
        <w:t>I</w:t>
      </w:r>
      <w:r w:rsidR="00714945">
        <w:rPr>
          <w:rFonts w:ascii="Times New Roman" w:hAnsi="Times New Roman"/>
          <w:sz w:val="20"/>
          <w:szCs w:val="20"/>
        </w:rPr>
        <w:t>a</w:t>
      </w:r>
      <w:r w:rsidRPr="003505D3">
        <w:rPr>
          <w:rFonts w:ascii="Times New Roman" w:hAnsi="Times New Roman"/>
          <w:sz w:val="20"/>
          <w:szCs w:val="20"/>
        </w:rPr>
        <w:t xml:space="preserve">: </w:t>
      </w:r>
      <w:r w:rsidR="00DA38FB">
        <w:rPr>
          <w:rFonts w:ascii="Times New Roman" w:hAnsi="Times New Roman"/>
          <w:sz w:val="20"/>
          <w:szCs w:val="20"/>
        </w:rPr>
        <w:t>Quality evaluation of</w:t>
      </w:r>
      <w:r w:rsidR="00170EB2" w:rsidRPr="003505D3">
        <w:rPr>
          <w:rFonts w:ascii="Times New Roman" w:hAnsi="Times New Roman"/>
          <w:sz w:val="20"/>
          <w:szCs w:val="20"/>
        </w:rPr>
        <w:t xml:space="preserve"> antimalarial samples containing </w:t>
      </w:r>
      <w:r w:rsidR="00170EB2" w:rsidRPr="003505D3">
        <w:rPr>
          <w:rFonts w:ascii="Times New Roman" w:hAnsi="Times New Roman"/>
          <w:b/>
          <w:sz w:val="20"/>
          <w:szCs w:val="20"/>
        </w:rPr>
        <w:t>Artesunate</w:t>
      </w:r>
      <w:r w:rsidR="00170EB2" w:rsidRPr="003505D3">
        <w:rPr>
          <w:rFonts w:ascii="Times New Roman" w:hAnsi="Times New Roman"/>
          <w:sz w:val="20"/>
          <w:szCs w:val="20"/>
        </w:rPr>
        <w:t xml:space="preserve">, </w:t>
      </w:r>
      <w:r w:rsidR="00170EB2" w:rsidRPr="003505D3">
        <w:rPr>
          <w:rFonts w:ascii="Times New Roman" w:hAnsi="Times New Roman"/>
          <w:b/>
          <w:sz w:val="20"/>
          <w:szCs w:val="20"/>
        </w:rPr>
        <w:t>Sulphadoxine</w:t>
      </w:r>
      <w:r w:rsidR="00170EB2" w:rsidRPr="003505D3">
        <w:rPr>
          <w:rFonts w:ascii="Times New Roman" w:hAnsi="Times New Roman"/>
          <w:sz w:val="20"/>
          <w:szCs w:val="20"/>
        </w:rPr>
        <w:t xml:space="preserve"> and </w:t>
      </w:r>
      <w:r w:rsidR="00170EB2" w:rsidRPr="003505D3">
        <w:rPr>
          <w:rFonts w:ascii="Times New Roman" w:hAnsi="Times New Roman"/>
          <w:b/>
          <w:sz w:val="20"/>
          <w:szCs w:val="20"/>
        </w:rPr>
        <w:t>Pyrimethamine</w:t>
      </w:r>
      <w:r w:rsidR="00DA38FB">
        <w:rPr>
          <w:rFonts w:ascii="Times New Roman" w:hAnsi="Times New Roman"/>
          <w:sz w:val="20"/>
          <w:szCs w:val="20"/>
        </w:rPr>
        <w:t xml:space="preserve"> active pharmaceutical ingredients (APIs) based on the quality of the individual API components</w:t>
      </w:r>
    </w:p>
    <w:tbl>
      <w:tblPr>
        <w:tblStyle w:val="TableGrid"/>
        <w:tblpPr w:leftFromText="180" w:rightFromText="180" w:vertAnchor="text" w:horzAnchor="margin" w:tblpXSpec="center" w:tblpY="80"/>
        <w:tblW w:w="11965" w:type="dxa"/>
        <w:tblLayout w:type="fixed"/>
        <w:tblLook w:val="01E0" w:firstRow="1" w:lastRow="1" w:firstColumn="1" w:lastColumn="1" w:noHBand="0" w:noVBand="0"/>
      </w:tblPr>
      <w:tblGrid>
        <w:gridCol w:w="1122"/>
        <w:gridCol w:w="2571"/>
        <w:gridCol w:w="962"/>
        <w:gridCol w:w="1043"/>
        <w:gridCol w:w="867"/>
        <w:gridCol w:w="900"/>
        <w:gridCol w:w="719"/>
        <w:gridCol w:w="722"/>
        <w:gridCol w:w="1033"/>
        <w:gridCol w:w="1126"/>
        <w:gridCol w:w="900"/>
      </w:tblGrid>
      <w:tr w:rsidR="00170EB2" w:rsidRPr="00AF3C2A" w:rsidTr="003505D3">
        <w:trPr>
          <w:trHeight w:val="170"/>
        </w:trPr>
        <w:tc>
          <w:tcPr>
            <w:tcW w:w="1122" w:type="dxa"/>
            <w:vMerge w:val="restart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571" w:type="dxa"/>
            <w:vMerge w:val="restart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Label Claim </w:t>
            </w: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(mg)</w:t>
            </w:r>
          </w:p>
        </w:tc>
        <w:tc>
          <w:tcPr>
            <w:tcW w:w="3772" w:type="dxa"/>
            <w:gridSpan w:val="4"/>
          </w:tcPr>
          <w:p w:rsidR="00170EB2" w:rsidRDefault="00170EB2" w:rsidP="00E2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719" w:type="dxa"/>
            <w:vMerge w:val="restart"/>
          </w:tcPr>
          <w:p w:rsidR="00170EB2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81" w:type="dxa"/>
            <w:gridSpan w:val="4"/>
          </w:tcPr>
          <w:p w:rsidR="00170EB2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170EB2" w:rsidRPr="00AF3C2A" w:rsidTr="003505D3">
        <w:trPr>
          <w:trHeight w:val="323"/>
        </w:trPr>
        <w:tc>
          <w:tcPr>
            <w:tcW w:w="1122" w:type="dxa"/>
            <w:vMerge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71" w:type="dxa"/>
            <w:vMerge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2" w:type="dxa"/>
            <w:gridSpan w:val="3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900" w:type="dxa"/>
            <w:vMerge w:val="restart"/>
          </w:tcPr>
          <w:p w:rsidR="00170EB2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Quality of sample as a whole </w:t>
            </w:r>
          </w:p>
        </w:tc>
        <w:tc>
          <w:tcPr>
            <w:tcW w:w="719" w:type="dxa"/>
            <w:vMerge/>
          </w:tcPr>
          <w:p w:rsidR="00170EB2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81" w:type="dxa"/>
            <w:gridSpan w:val="3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Quality of individual API components </w:t>
            </w:r>
          </w:p>
        </w:tc>
        <w:tc>
          <w:tcPr>
            <w:tcW w:w="900" w:type="dxa"/>
            <w:vMerge w:val="restart"/>
          </w:tcPr>
          <w:p w:rsidR="00170EB2" w:rsidRPr="00AF3C2A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Quality of sample as a whole </w:t>
            </w:r>
          </w:p>
        </w:tc>
      </w:tr>
      <w:tr w:rsidR="00170EB2" w:rsidRPr="00AF3C2A" w:rsidTr="00E25B37">
        <w:trPr>
          <w:trHeight w:val="129"/>
        </w:trPr>
        <w:tc>
          <w:tcPr>
            <w:tcW w:w="1122" w:type="dxa"/>
            <w:vMerge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1" w:type="dxa"/>
            <w:vMerge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sz w:val="16"/>
                <w:szCs w:val="16"/>
              </w:rPr>
              <w:t>ATS</w:t>
            </w:r>
          </w:p>
        </w:tc>
        <w:tc>
          <w:tcPr>
            <w:tcW w:w="1043" w:type="dxa"/>
          </w:tcPr>
          <w:p w:rsidR="00170EB2" w:rsidRPr="00BD418D" w:rsidRDefault="00170EB2" w:rsidP="00E25B3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BD418D">
              <w:rPr>
                <w:b/>
                <w:bCs/>
                <w:sz w:val="16"/>
                <w:szCs w:val="16"/>
              </w:rPr>
              <w:t>SDX</w:t>
            </w:r>
          </w:p>
        </w:tc>
        <w:tc>
          <w:tcPr>
            <w:tcW w:w="867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bCs/>
                <w:sz w:val="16"/>
                <w:szCs w:val="16"/>
              </w:rPr>
              <w:t>PYR</w:t>
            </w:r>
          </w:p>
        </w:tc>
        <w:tc>
          <w:tcPr>
            <w:tcW w:w="900" w:type="dxa"/>
            <w:vMerge/>
          </w:tcPr>
          <w:p w:rsidR="00170EB2" w:rsidRPr="00BD418D" w:rsidRDefault="00170EB2" w:rsidP="00E25B3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170EB2" w:rsidRPr="00BD418D" w:rsidRDefault="00170EB2" w:rsidP="00E25B3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170EB2" w:rsidRPr="00BD418D" w:rsidRDefault="00170EB2" w:rsidP="00E25B3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BD418D">
              <w:rPr>
                <w:b/>
                <w:sz w:val="16"/>
                <w:szCs w:val="16"/>
              </w:rPr>
              <w:t>ATS</w:t>
            </w:r>
          </w:p>
        </w:tc>
        <w:tc>
          <w:tcPr>
            <w:tcW w:w="103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bCs/>
                <w:sz w:val="16"/>
                <w:szCs w:val="16"/>
              </w:rPr>
              <w:t>SDX</w:t>
            </w:r>
          </w:p>
        </w:tc>
        <w:tc>
          <w:tcPr>
            <w:tcW w:w="1126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bCs/>
                <w:sz w:val="16"/>
                <w:szCs w:val="16"/>
              </w:rPr>
              <w:t>PYR</w:t>
            </w:r>
          </w:p>
        </w:tc>
        <w:tc>
          <w:tcPr>
            <w:tcW w:w="900" w:type="dxa"/>
            <w:vMerge/>
          </w:tcPr>
          <w:p w:rsidR="00170EB2" w:rsidRPr="00AF3C2A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EB2" w:rsidRPr="00AF3C2A" w:rsidTr="00E25B37">
        <w:trPr>
          <w:trHeight w:val="120"/>
        </w:trPr>
        <w:tc>
          <w:tcPr>
            <w:tcW w:w="1122" w:type="dxa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*2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2571" w:type="dxa"/>
          </w:tcPr>
          <w:p w:rsidR="00170EB2" w:rsidRPr="00B70F23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ATS/SDX/PYR:100/500/25</w:t>
            </w:r>
          </w:p>
        </w:tc>
        <w:tc>
          <w:tcPr>
            <w:tcW w:w="962" w:type="dxa"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04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867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170EB2" w:rsidRPr="00CD02C4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2C4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170EB2" w:rsidRPr="00872470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170EB2" w:rsidRPr="00AF3C2A" w:rsidTr="00E25B37">
        <w:trPr>
          <w:trHeight w:val="192"/>
        </w:trPr>
        <w:tc>
          <w:tcPr>
            <w:tcW w:w="1122" w:type="dxa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*4Y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2571" w:type="dxa"/>
          </w:tcPr>
          <w:p w:rsidR="00170EB2" w:rsidRPr="00B70F23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ATS/SDX/PYR:100/500/25</w:t>
            </w:r>
          </w:p>
        </w:tc>
        <w:tc>
          <w:tcPr>
            <w:tcW w:w="962" w:type="dxa"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867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BL</w:t>
            </w: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170EB2" w:rsidRPr="00CD02C4" w:rsidRDefault="00170EB2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2C4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126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170EB2" w:rsidRPr="00872470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  <w:tr w:rsidR="00170EB2" w:rsidRPr="005A0EAE" w:rsidTr="00E25B37">
        <w:trPr>
          <w:trHeight w:val="84"/>
        </w:trPr>
        <w:tc>
          <w:tcPr>
            <w:tcW w:w="1122" w:type="dxa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*3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2571" w:type="dxa"/>
          </w:tcPr>
          <w:p w:rsidR="00170EB2" w:rsidRPr="00B70F23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ATS/SDX/PYR:100/500/25</w:t>
            </w:r>
          </w:p>
        </w:tc>
        <w:tc>
          <w:tcPr>
            <w:tcW w:w="962" w:type="dxa"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867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:rsidR="00170EB2" w:rsidRPr="00CD02C4" w:rsidRDefault="00170EB2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2C4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:rsidR="00170EB2" w:rsidRPr="00872470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170EB2" w:rsidRPr="005A0EAE" w:rsidTr="00E25B37">
        <w:trPr>
          <w:trHeight w:val="147"/>
        </w:trPr>
        <w:tc>
          <w:tcPr>
            <w:tcW w:w="1122" w:type="dxa"/>
          </w:tcPr>
          <w:p w:rsidR="00170EB2" w:rsidRPr="00AF3C2A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*3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2571" w:type="dxa"/>
          </w:tcPr>
          <w:p w:rsidR="00170EB2" w:rsidRPr="00B70F23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ATS/SDX/PYR:100/500/25</w:t>
            </w:r>
          </w:p>
        </w:tc>
        <w:tc>
          <w:tcPr>
            <w:tcW w:w="962" w:type="dxa"/>
          </w:tcPr>
          <w:p w:rsidR="00170EB2" w:rsidRPr="00BD418D" w:rsidRDefault="00170EB2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867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:rsidR="00170EB2" w:rsidRPr="00CD02C4" w:rsidRDefault="00170EB2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2C4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170EB2" w:rsidRPr="00BD418D" w:rsidRDefault="00170EB2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</w:tcPr>
          <w:p w:rsidR="00170EB2" w:rsidRPr="00872470" w:rsidRDefault="00170EB2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8E2001" w:rsidRPr="005F69E7" w:rsidRDefault="008E2001" w:rsidP="008E200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93F57">
        <w:rPr>
          <w:rFonts w:ascii="Times New Roman" w:hAnsi="Times New Roman"/>
          <w:b/>
          <w:vanish/>
          <w:sz w:val="20"/>
          <w:szCs w:val="20"/>
        </w:rPr>
        <w:cr/>
        <w:t>L62.5)antial portion (72ant – 6</w:t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sz w:val="20"/>
          <w:szCs w:val="20"/>
        </w:rPr>
        <w:t xml:space="preserve"> </w:t>
      </w:r>
      <w:r w:rsidR="005F69E7" w:rsidRPr="005F69E7">
        <w:rPr>
          <w:rFonts w:ascii="Times New Roman" w:hAnsi="Times New Roman"/>
          <w:sz w:val="16"/>
          <w:szCs w:val="16"/>
        </w:rPr>
        <w:t>For the combination therapies, a sample was considered compliant (C) if all component APIs were compliant; noncompliant (NC) if one or more of the API components was NC and borderline compliant (BLC) if all components were BLC or there was one or more BLC component among C components.</w:t>
      </w:r>
    </w:p>
    <w:p w:rsidR="005F69E7" w:rsidRDefault="005F69E7">
      <w:pPr>
        <w:rPr>
          <w:rFonts w:ascii="Times New Roman" w:hAnsi="Times New Roman"/>
          <w:sz w:val="20"/>
          <w:szCs w:val="20"/>
        </w:rPr>
      </w:pPr>
    </w:p>
    <w:p w:rsidR="00170EB2" w:rsidRDefault="003505D3">
      <w:r w:rsidRPr="003505D3">
        <w:rPr>
          <w:rFonts w:ascii="Times New Roman" w:hAnsi="Times New Roman"/>
          <w:sz w:val="20"/>
          <w:szCs w:val="20"/>
        </w:rPr>
        <w:t>Table I</w:t>
      </w:r>
      <w:r w:rsidR="00714945">
        <w:rPr>
          <w:rFonts w:ascii="Times New Roman" w:hAnsi="Times New Roman"/>
          <w:sz w:val="20"/>
          <w:szCs w:val="20"/>
        </w:rPr>
        <w:t>b</w:t>
      </w:r>
      <w:r w:rsidR="00DF00B8">
        <w:rPr>
          <w:rFonts w:ascii="Times New Roman" w:hAnsi="Times New Roman"/>
          <w:sz w:val="20"/>
          <w:szCs w:val="20"/>
        </w:rPr>
        <w:t xml:space="preserve">: </w:t>
      </w:r>
      <w:r w:rsidR="00AD7EED">
        <w:rPr>
          <w:rFonts w:ascii="Times New Roman" w:hAnsi="Times New Roman"/>
          <w:sz w:val="20"/>
          <w:szCs w:val="20"/>
        </w:rPr>
        <w:t xml:space="preserve">Summary of results </w:t>
      </w:r>
      <w:r w:rsidR="008751E6">
        <w:rPr>
          <w:rFonts w:ascii="Times New Roman" w:hAnsi="Times New Roman"/>
          <w:sz w:val="20"/>
          <w:szCs w:val="20"/>
        </w:rPr>
        <w:t xml:space="preserve">for </w:t>
      </w:r>
      <w:r w:rsidR="00DA38FB">
        <w:rPr>
          <w:rFonts w:ascii="Times New Roman" w:hAnsi="Times New Roman"/>
          <w:sz w:val="20"/>
          <w:szCs w:val="20"/>
        </w:rPr>
        <w:t>q</w:t>
      </w:r>
      <w:r w:rsidR="00DA38FB" w:rsidRPr="003505D3">
        <w:rPr>
          <w:rFonts w:ascii="Times New Roman" w:hAnsi="Times New Roman"/>
          <w:sz w:val="20"/>
          <w:szCs w:val="20"/>
        </w:rPr>
        <w:t xml:space="preserve">uality evaluation </w:t>
      </w:r>
      <w:r w:rsidR="00DA38FB">
        <w:rPr>
          <w:rFonts w:ascii="Times New Roman" w:hAnsi="Times New Roman"/>
          <w:sz w:val="20"/>
          <w:szCs w:val="20"/>
        </w:rPr>
        <w:t xml:space="preserve">of </w:t>
      </w:r>
      <w:r w:rsidR="008751E6" w:rsidRPr="003505D3">
        <w:rPr>
          <w:rFonts w:ascii="Times New Roman" w:hAnsi="Times New Roman"/>
          <w:sz w:val="20"/>
          <w:szCs w:val="20"/>
        </w:rPr>
        <w:t xml:space="preserve">antimalarial samples containing </w:t>
      </w:r>
      <w:r w:rsidR="008751E6" w:rsidRPr="003505D3">
        <w:rPr>
          <w:rFonts w:ascii="Times New Roman" w:hAnsi="Times New Roman"/>
          <w:b/>
          <w:sz w:val="20"/>
          <w:szCs w:val="20"/>
        </w:rPr>
        <w:t>Artesunate</w:t>
      </w:r>
      <w:r w:rsidR="008751E6" w:rsidRPr="003505D3">
        <w:rPr>
          <w:rFonts w:ascii="Times New Roman" w:hAnsi="Times New Roman"/>
          <w:sz w:val="20"/>
          <w:szCs w:val="20"/>
        </w:rPr>
        <w:t xml:space="preserve">, </w:t>
      </w:r>
      <w:r w:rsidR="008751E6" w:rsidRPr="003505D3">
        <w:rPr>
          <w:rFonts w:ascii="Times New Roman" w:hAnsi="Times New Roman"/>
          <w:b/>
          <w:sz w:val="20"/>
          <w:szCs w:val="20"/>
        </w:rPr>
        <w:t>Sulphadoxine</w:t>
      </w:r>
      <w:r w:rsidR="008751E6" w:rsidRPr="003505D3">
        <w:rPr>
          <w:rFonts w:ascii="Times New Roman" w:hAnsi="Times New Roman"/>
          <w:sz w:val="20"/>
          <w:szCs w:val="20"/>
        </w:rPr>
        <w:t xml:space="preserve"> and </w:t>
      </w:r>
      <w:r w:rsidR="008751E6" w:rsidRPr="003505D3">
        <w:rPr>
          <w:rFonts w:ascii="Times New Roman" w:hAnsi="Times New Roman"/>
          <w:b/>
          <w:sz w:val="20"/>
          <w:szCs w:val="20"/>
        </w:rPr>
        <w:t>Pyrimethamine</w:t>
      </w:r>
      <w:r w:rsidR="008751E6" w:rsidRPr="003505D3">
        <w:rPr>
          <w:rFonts w:ascii="Times New Roman" w:hAnsi="Times New Roman"/>
          <w:sz w:val="20"/>
          <w:szCs w:val="20"/>
        </w:rPr>
        <w:t xml:space="preserve"> APIs</w:t>
      </w:r>
      <w:r w:rsidR="008751E6">
        <w:rPr>
          <w:rFonts w:ascii="Times New Roman" w:hAnsi="Times New Roman"/>
          <w:sz w:val="20"/>
          <w:szCs w:val="20"/>
        </w:rPr>
        <w:t xml:space="preserve"> </w:t>
      </w:r>
      <w:r w:rsidR="005F69E7">
        <w:rPr>
          <w:rFonts w:ascii="Times New Roman" w:hAnsi="Times New Roman"/>
          <w:sz w:val="20"/>
          <w:szCs w:val="20"/>
        </w:rPr>
        <w:t>by TLC and HPLC</w:t>
      </w:r>
      <w:r w:rsidR="00DA38FB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260"/>
        <w:gridCol w:w="1350"/>
      </w:tblGrid>
      <w:tr w:rsidR="003505D3" w:rsidRPr="00A074AD" w:rsidTr="00A074AD">
        <w:tc>
          <w:tcPr>
            <w:tcW w:w="3325" w:type="dxa"/>
          </w:tcPr>
          <w:p w:rsidR="003505D3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ATS/SDX/PYR (4 samples)</w:t>
            </w:r>
          </w:p>
        </w:tc>
        <w:tc>
          <w:tcPr>
            <w:tcW w:w="1350" w:type="dxa"/>
          </w:tcPr>
          <w:p w:rsidR="003505D3" w:rsidRPr="00A074AD" w:rsidRDefault="003505D3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3505D3" w:rsidRPr="00A074AD" w:rsidRDefault="003505D3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3505D3" w:rsidRPr="00A074AD" w:rsidRDefault="003505D3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3505D3" w:rsidRPr="00A074AD" w:rsidTr="00E25B37">
        <w:trPr>
          <w:trHeight w:val="64"/>
        </w:trPr>
        <w:tc>
          <w:tcPr>
            <w:tcW w:w="3325" w:type="dxa"/>
          </w:tcPr>
          <w:p w:rsidR="003505D3" w:rsidRPr="00A074AD" w:rsidRDefault="003505D3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350" w:type="dxa"/>
          </w:tcPr>
          <w:p w:rsidR="003505D3" w:rsidRPr="00A074AD" w:rsidRDefault="00AD7EE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505D3" w:rsidRPr="00A074AD" w:rsidRDefault="00AD7EE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3505D3" w:rsidRPr="00A074AD" w:rsidRDefault="00AD7EE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4 (100%)</w:t>
            </w:r>
          </w:p>
        </w:tc>
      </w:tr>
      <w:tr w:rsidR="003505D3" w:rsidRPr="00A074AD" w:rsidTr="00A074AD">
        <w:tc>
          <w:tcPr>
            <w:tcW w:w="3325" w:type="dxa"/>
          </w:tcPr>
          <w:p w:rsidR="003505D3" w:rsidRPr="00A074AD" w:rsidRDefault="003505D3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350" w:type="dxa"/>
          </w:tcPr>
          <w:p w:rsidR="003505D3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505D3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1 (25%)</w:t>
            </w:r>
          </w:p>
        </w:tc>
        <w:tc>
          <w:tcPr>
            <w:tcW w:w="1350" w:type="dxa"/>
          </w:tcPr>
          <w:p w:rsidR="003505D3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3 (75%)</w:t>
            </w:r>
          </w:p>
        </w:tc>
      </w:tr>
    </w:tbl>
    <w:p w:rsidR="00170EB2" w:rsidRPr="00DF00B8" w:rsidRDefault="00DF00B8">
      <w:pPr>
        <w:rPr>
          <w:rFonts w:ascii="Times New Roman" w:hAnsi="Times New Roman"/>
          <w:sz w:val="20"/>
          <w:szCs w:val="20"/>
        </w:rPr>
      </w:pPr>
      <w:r w:rsidRPr="00DF00B8">
        <w:rPr>
          <w:rFonts w:ascii="Times New Roman" w:hAnsi="Times New Roman"/>
          <w:sz w:val="20"/>
          <w:szCs w:val="20"/>
        </w:rPr>
        <w:t>75% (3/4) samples gave same results for both assays</w:t>
      </w:r>
    </w:p>
    <w:p w:rsidR="008751E6" w:rsidRDefault="008751E6"/>
    <w:p w:rsidR="00DF00B8" w:rsidRDefault="00DF00B8"/>
    <w:p w:rsidR="005F69E7" w:rsidRDefault="005F69E7"/>
    <w:p w:rsidR="005F69E7" w:rsidRDefault="005F69E7"/>
    <w:p w:rsidR="00E25B37" w:rsidRDefault="00E25B37"/>
    <w:p w:rsidR="00E25B37" w:rsidRDefault="00E25B37"/>
    <w:p w:rsidR="008751E6" w:rsidRDefault="008751E6"/>
    <w:p w:rsidR="003505D3" w:rsidRDefault="003505D3" w:rsidP="003505D3">
      <w:pPr>
        <w:jc w:val="both"/>
      </w:pPr>
      <w:r w:rsidRPr="003505D3">
        <w:rPr>
          <w:rFonts w:ascii="Times New Roman" w:hAnsi="Times New Roman"/>
          <w:sz w:val="20"/>
          <w:szCs w:val="20"/>
        </w:rPr>
        <w:lastRenderedPageBreak/>
        <w:t xml:space="preserve">Table </w:t>
      </w:r>
      <w:r>
        <w:rPr>
          <w:rFonts w:ascii="Times New Roman" w:hAnsi="Times New Roman"/>
          <w:sz w:val="20"/>
          <w:szCs w:val="20"/>
        </w:rPr>
        <w:t>I</w:t>
      </w:r>
      <w:r w:rsidRPr="003505D3">
        <w:rPr>
          <w:rFonts w:ascii="Times New Roman" w:hAnsi="Times New Roman"/>
          <w:sz w:val="20"/>
          <w:szCs w:val="20"/>
        </w:rPr>
        <w:t>I</w:t>
      </w:r>
      <w:r w:rsidR="00714945">
        <w:rPr>
          <w:rFonts w:ascii="Times New Roman" w:hAnsi="Times New Roman"/>
          <w:sz w:val="20"/>
          <w:szCs w:val="20"/>
        </w:rPr>
        <w:t>a</w:t>
      </w:r>
      <w:r w:rsidRPr="003505D3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Pr="003505D3">
        <w:rPr>
          <w:rFonts w:ascii="Times New Roman" w:hAnsi="Times New Roman"/>
          <w:b/>
          <w:sz w:val="20"/>
          <w:szCs w:val="20"/>
        </w:rPr>
        <w:t>Artesunate</w:t>
      </w:r>
      <w:r w:rsidRPr="003505D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S</w:t>
      </w:r>
      <w:r w:rsidRPr="003505D3">
        <w:rPr>
          <w:rFonts w:ascii="Times New Roman" w:hAnsi="Times New Roman"/>
          <w:b/>
          <w:sz w:val="20"/>
          <w:szCs w:val="20"/>
        </w:rPr>
        <w:t>ulphamethoxypyridazine</w:t>
      </w:r>
      <w:r w:rsidRPr="003505D3">
        <w:rPr>
          <w:rFonts w:ascii="Times New Roman" w:hAnsi="Times New Roman"/>
          <w:sz w:val="20"/>
          <w:szCs w:val="20"/>
        </w:rPr>
        <w:t xml:space="preserve"> and </w:t>
      </w:r>
      <w:r w:rsidRPr="003505D3">
        <w:rPr>
          <w:rFonts w:ascii="Times New Roman" w:hAnsi="Times New Roman"/>
          <w:b/>
          <w:sz w:val="20"/>
          <w:szCs w:val="20"/>
        </w:rPr>
        <w:t>Pyrimethamine</w:t>
      </w:r>
      <w:r w:rsidRPr="003505D3">
        <w:rPr>
          <w:rFonts w:ascii="Times New Roman" w:hAnsi="Times New Roman"/>
          <w:sz w:val="20"/>
          <w:szCs w:val="20"/>
        </w:rPr>
        <w:t xml:space="preserve"> </w:t>
      </w:r>
      <w:r w:rsidR="005F69E7">
        <w:rPr>
          <w:rFonts w:ascii="Times New Roman" w:hAnsi="Times New Roman"/>
          <w:sz w:val="20"/>
          <w:szCs w:val="20"/>
        </w:rPr>
        <w:t>active pharmaceutical ingredients (APIs) based on the quality of the individual API components</w:t>
      </w:r>
    </w:p>
    <w:tbl>
      <w:tblPr>
        <w:tblStyle w:val="TableGrid"/>
        <w:tblpPr w:leftFromText="180" w:rightFromText="180" w:vertAnchor="text" w:horzAnchor="margin" w:tblpXSpec="center" w:tblpY="80"/>
        <w:tblW w:w="11965" w:type="dxa"/>
        <w:tblLayout w:type="fixed"/>
        <w:tblLook w:val="01E0" w:firstRow="1" w:lastRow="1" w:firstColumn="1" w:lastColumn="1" w:noHBand="0" w:noVBand="0"/>
      </w:tblPr>
      <w:tblGrid>
        <w:gridCol w:w="1122"/>
        <w:gridCol w:w="2571"/>
        <w:gridCol w:w="962"/>
        <w:gridCol w:w="1043"/>
        <w:gridCol w:w="867"/>
        <w:gridCol w:w="900"/>
        <w:gridCol w:w="719"/>
        <w:gridCol w:w="722"/>
        <w:gridCol w:w="1033"/>
        <w:gridCol w:w="1126"/>
        <w:gridCol w:w="900"/>
      </w:tblGrid>
      <w:tr w:rsidR="003505D3" w:rsidRPr="00AF3C2A" w:rsidTr="000D6D62">
        <w:trPr>
          <w:trHeight w:val="170"/>
        </w:trPr>
        <w:tc>
          <w:tcPr>
            <w:tcW w:w="1122" w:type="dxa"/>
            <w:vMerge w:val="restart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571" w:type="dxa"/>
            <w:vMerge w:val="restart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Label Claim </w:t>
            </w:r>
            <w:r w:rsidRPr="00AF3C2A">
              <w:rPr>
                <w:rFonts w:ascii="Times New Roman" w:hAnsi="Times New Roman"/>
                <w:b/>
                <w:sz w:val="16"/>
                <w:szCs w:val="16"/>
              </w:rPr>
              <w:t>(mg)</w:t>
            </w:r>
          </w:p>
        </w:tc>
        <w:tc>
          <w:tcPr>
            <w:tcW w:w="3772" w:type="dxa"/>
            <w:gridSpan w:val="4"/>
          </w:tcPr>
          <w:p w:rsidR="003505D3" w:rsidRDefault="003505D3" w:rsidP="00E2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719" w:type="dxa"/>
            <w:vMerge w:val="restart"/>
          </w:tcPr>
          <w:p w:rsidR="003505D3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81" w:type="dxa"/>
            <w:gridSpan w:val="4"/>
          </w:tcPr>
          <w:p w:rsidR="003505D3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3505D3" w:rsidRPr="00AF3C2A" w:rsidTr="000D6D62">
        <w:trPr>
          <w:trHeight w:val="323"/>
        </w:trPr>
        <w:tc>
          <w:tcPr>
            <w:tcW w:w="1122" w:type="dxa"/>
            <w:vMerge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71" w:type="dxa"/>
            <w:vMerge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2" w:type="dxa"/>
            <w:gridSpan w:val="3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900" w:type="dxa"/>
            <w:vMerge w:val="restart"/>
          </w:tcPr>
          <w:p w:rsidR="003505D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Quality of sample as a whole </w:t>
            </w:r>
          </w:p>
        </w:tc>
        <w:tc>
          <w:tcPr>
            <w:tcW w:w="719" w:type="dxa"/>
            <w:vMerge/>
          </w:tcPr>
          <w:p w:rsidR="003505D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81" w:type="dxa"/>
            <w:gridSpan w:val="3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Quality of individual API components </w:t>
            </w:r>
          </w:p>
        </w:tc>
        <w:tc>
          <w:tcPr>
            <w:tcW w:w="900" w:type="dxa"/>
            <w:vMerge w:val="restart"/>
          </w:tcPr>
          <w:p w:rsidR="003505D3" w:rsidRPr="00AF3C2A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Quality of sample as a whole </w:t>
            </w:r>
          </w:p>
        </w:tc>
      </w:tr>
      <w:tr w:rsidR="003505D3" w:rsidRPr="00AF3C2A" w:rsidTr="00E25B37">
        <w:trPr>
          <w:trHeight w:val="309"/>
        </w:trPr>
        <w:tc>
          <w:tcPr>
            <w:tcW w:w="1122" w:type="dxa"/>
            <w:vMerge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1" w:type="dxa"/>
            <w:vMerge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2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sz w:val="16"/>
                <w:szCs w:val="16"/>
              </w:rPr>
              <w:t>ATS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bCs/>
                <w:sz w:val="16"/>
                <w:szCs w:val="16"/>
              </w:rPr>
              <w:t>PYR</w:t>
            </w:r>
          </w:p>
        </w:tc>
        <w:tc>
          <w:tcPr>
            <w:tcW w:w="900" w:type="dxa"/>
            <w:vMerge/>
          </w:tcPr>
          <w:p w:rsidR="003505D3" w:rsidRPr="00BD418D" w:rsidRDefault="003505D3" w:rsidP="00E25B3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3505D3" w:rsidP="00E25B37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BD418D">
              <w:rPr>
                <w:b/>
                <w:sz w:val="16"/>
                <w:szCs w:val="16"/>
              </w:rPr>
              <w:t>ATS</w:t>
            </w:r>
          </w:p>
        </w:tc>
        <w:tc>
          <w:tcPr>
            <w:tcW w:w="1033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SM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b/>
                <w:bCs/>
                <w:sz w:val="16"/>
                <w:szCs w:val="16"/>
              </w:rPr>
              <w:t>PYR</w:t>
            </w:r>
          </w:p>
        </w:tc>
        <w:tc>
          <w:tcPr>
            <w:tcW w:w="900" w:type="dxa"/>
            <w:vMerge/>
          </w:tcPr>
          <w:p w:rsidR="003505D3" w:rsidRPr="00AF3C2A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05D3" w:rsidRPr="005A0EAE" w:rsidTr="00E25B37">
        <w:trPr>
          <w:trHeight w:val="120"/>
        </w:trPr>
        <w:tc>
          <w:tcPr>
            <w:tcW w:w="1122" w:type="dxa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71" w:type="dxa"/>
          </w:tcPr>
          <w:p w:rsidR="003505D3" w:rsidRPr="00B70F2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ATS/SM/PYR:100/250/12</w:t>
            </w:r>
          </w:p>
        </w:tc>
        <w:tc>
          <w:tcPr>
            <w:tcW w:w="96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3505D3" w:rsidRPr="008E2001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001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 xml:space="preserve">NC 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3505D3" w:rsidRPr="005A0EAE" w:rsidTr="00E25B37">
        <w:trPr>
          <w:trHeight w:val="102"/>
        </w:trPr>
        <w:tc>
          <w:tcPr>
            <w:tcW w:w="1122" w:type="dxa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71" w:type="dxa"/>
          </w:tcPr>
          <w:p w:rsidR="003505D3" w:rsidRPr="00B70F2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ATS/SM/PYR:200/500/25</w:t>
            </w:r>
          </w:p>
        </w:tc>
        <w:tc>
          <w:tcPr>
            <w:tcW w:w="96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3505D3" w:rsidRPr="008E2001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001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 xml:space="preserve">NC 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3505D3" w:rsidRPr="005A0EAE" w:rsidTr="00E25B37">
        <w:trPr>
          <w:trHeight w:val="174"/>
        </w:trPr>
        <w:tc>
          <w:tcPr>
            <w:tcW w:w="1122" w:type="dxa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71" w:type="dxa"/>
          </w:tcPr>
          <w:p w:rsidR="003505D3" w:rsidRPr="00B70F2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ATS/SM/PYR:100/250/12.5</w:t>
            </w:r>
          </w:p>
        </w:tc>
        <w:tc>
          <w:tcPr>
            <w:tcW w:w="96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33" w:type="dxa"/>
          </w:tcPr>
          <w:p w:rsidR="003505D3" w:rsidRPr="008E2001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001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 xml:space="preserve">NC 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3505D3" w:rsidRPr="005A0EAE" w:rsidTr="00E25B37">
        <w:trPr>
          <w:trHeight w:val="64"/>
        </w:trPr>
        <w:tc>
          <w:tcPr>
            <w:tcW w:w="1122" w:type="dxa"/>
          </w:tcPr>
          <w:p w:rsidR="003505D3" w:rsidRPr="00AF3C2A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  <w:vertAlign w:val="superscript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4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71" w:type="dxa"/>
          </w:tcPr>
          <w:p w:rsidR="003505D3" w:rsidRPr="00B70F2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ATS/SM/PYR:200/500/25</w:t>
            </w:r>
          </w:p>
        </w:tc>
        <w:tc>
          <w:tcPr>
            <w:tcW w:w="96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33" w:type="dxa"/>
          </w:tcPr>
          <w:p w:rsidR="003505D3" w:rsidRPr="008E2001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001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3505D3" w:rsidRPr="005A0EAE" w:rsidTr="00E25B37">
        <w:trPr>
          <w:trHeight w:val="64"/>
        </w:trPr>
        <w:tc>
          <w:tcPr>
            <w:tcW w:w="1122" w:type="dxa"/>
          </w:tcPr>
          <w:p w:rsidR="003505D3" w:rsidRPr="00AF3C2A" w:rsidRDefault="003505D3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3C2A">
              <w:rPr>
                <w:rFonts w:ascii="Times New Roman" w:hAnsi="Times New Roman"/>
                <w:sz w:val="16"/>
                <w:szCs w:val="16"/>
              </w:rPr>
              <w:t>3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AF3C2A">
              <w:rPr>
                <w:rFonts w:ascii="Times New Roman" w:hAnsi="Times New Roman"/>
                <w:sz w:val="16"/>
                <w:szCs w:val="16"/>
              </w:rPr>
              <w:t>Y</w:t>
            </w:r>
            <w:r w:rsidRPr="00AF3C2A">
              <w:rPr>
                <w:rFonts w:ascii="Times New Roman" w:hAnsi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2571" w:type="dxa"/>
          </w:tcPr>
          <w:p w:rsidR="003505D3" w:rsidRPr="00B70F23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0F23">
              <w:rPr>
                <w:rFonts w:ascii="Times New Roman" w:hAnsi="Times New Roman"/>
                <w:sz w:val="16"/>
                <w:szCs w:val="16"/>
              </w:rPr>
              <w:t>ATS/SM/PYR:200/500/25</w:t>
            </w:r>
          </w:p>
        </w:tc>
        <w:tc>
          <w:tcPr>
            <w:tcW w:w="962" w:type="dxa"/>
          </w:tcPr>
          <w:p w:rsidR="003505D3" w:rsidRPr="00BD418D" w:rsidRDefault="003505D3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43" w:type="dxa"/>
          </w:tcPr>
          <w:p w:rsidR="003505D3" w:rsidRPr="00BD418D" w:rsidRDefault="003505D3" w:rsidP="00E25B3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719" w:type="dxa"/>
            <w:vMerge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3505D3" w:rsidRPr="00BD418D" w:rsidRDefault="007C6FDF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BL</w:t>
            </w:r>
            <w:r w:rsidR="003505D3"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33" w:type="dxa"/>
          </w:tcPr>
          <w:p w:rsidR="003505D3" w:rsidRPr="008E2001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001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3505D3" w:rsidRPr="00BD418D" w:rsidRDefault="003505D3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418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</w:tcPr>
          <w:p w:rsidR="003505D3" w:rsidRPr="00872470" w:rsidRDefault="003505D3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3505D3" w:rsidRPr="00193F57" w:rsidRDefault="003505D3" w:rsidP="003505D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93F57">
        <w:rPr>
          <w:rFonts w:ascii="Times New Roman" w:hAnsi="Times New Roman"/>
          <w:b/>
          <w:vanish/>
          <w:sz w:val="20"/>
          <w:szCs w:val="20"/>
        </w:rPr>
        <w:cr/>
        <w:t>L62.5)antial portion (72ant – 6</w:t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 w:rsidRPr="00193F57">
        <w:rPr>
          <w:rFonts w:ascii="Times New Roman" w:hAnsi="Times New Roman"/>
          <w:b/>
          <w:vanish/>
          <w:sz w:val="20"/>
          <w:szCs w:val="20"/>
        </w:rPr>
        <w:pgNum/>
      </w:r>
      <w:r>
        <w:rPr>
          <w:rFonts w:ascii="Times New Roman" w:hAnsi="Times New Roman"/>
          <w:sz w:val="20"/>
          <w:szCs w:val="20"/>
        </w:rPr>
        <w:t>SM = sulphamethoxypyridazine.</w:t>
      </w:r>
      <w:r w:rsidRPr="00193F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 </w:t>
      </w:r>
      <w:r w:rsidRPr="00193F57">
        <w:rPr>
          <w:rFonts w:ascii="Times New Roman" w:hAnsi="Times New Roman"/>
          <w:sz w:val="20"/>
          <w:szCs w:val="20"/>
        </w:rPr>
        <w:t>TLC, it gave a spot with the same retention time as sulphadoxine, but it failed to stain well with I</w:t>
      </w:r>
      <w:r w:rsidRPr="00193F57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/KI for </w:t>
      </w:r>
      <w:r w:rsidRPr="00193F57">
        <w:rPr>
          <w:rFonts w:ascii="Times New Roman" w:hAnsi="Times New Roman"/>
          <w:sz w:val="20"/>
          <w:szCs w:val="20"/>
        </w:rPr>
        <w:t>SQ-TLC</w:t>
      </w:r>
      <w:r>
        <w:rPr>
          <w:rFonts w:ascii="Times New Roman" w:hAnsi="Times New Roman"/>
          <w:sz w:val="20"/>
          <w:szCs w:val="20"/>
        </w:rPr>
        <w:t xml:space="preserve"> analysis</w:t>
      </w:r>
      <w:r w:rsidRPr="00193F57">
        <w:rPr>
          <w:rFonts w:ascii="Times New Roman" w:hAnsi="Times New Roman"/>
          <w:sz w:val="20"/>
          <w:szCs w:val="20"/>
        </w:rPr>
        <w:t xml:space="preserve">. However, HPLC analysis was successful. </w:t>
      </w:r>
    </w:p>
    <w:p w:rsidR="005F69E7" w:rsidRDefault="005F69E7" w:rsidP="0029444E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E25B37" w:rsidP="008751E6">
      <w:r>
        <w:rPr>
          <w:rFonts w:ascii="Times New Roman" w:hAnsi="Times New Roman"/>
          <w:sz w:val="20"/>
          <w:szCs w:val="20"/>
        </w:rPr>
        <w:t>T</w:t>
      </w:r>
      <w:r w:rsidR="008751E6" w:rsidRPr="003505D3">
        <w:rPr>
          <w:rFonts w:ascii="Times New Roman" w:hAnsi="Times New Roman"/>
          <w:sz w:val="20"/>
          <w:szCs w:val="20"/>
        </w:rPr>
        <w:t>able I</w:t>
      </w:r>
      <w:r w:rsidR="00714945">
        <w:rPr>
          <w:rFonts w:ascii="Times New Roman" w:hAnsi="Times New Roman"/>
          <w:sz w:val="20"/>
          <w:szCs w:val="20"/>
        </w:rPr>
        <w:t>Ib</w:t>
      </w:r>
      <w:r w:rsidR="008751E6">
        <w:rPr>
          <w:rFonts w:ascii="Times New Roman" w:hAnsi="Times New Roman"/>
          <w:sz w:val="20"/>
          <w:szCs w:val="20"/>
        </w:rPr>
        <w:t xml:space="preserve">: Summary of results for </w:t>
      </w:r>
      <w:r w:rsidR="008751E6" w:rsidRPr="003505D3">
        <w:rPr>
          <w:rFonts w:ascii="Times New Roman" w:hAnsi="Times New Roman"/>
          <w:sz w:val="20"/>
          <w:szCs w:val="20"/>
        </w:rPr>
        <w:t xml:space="preserve">antimalarial samples containing </w:t>
      </w:r>
      <w:r w:rsidR="008751E6" w:rsidRPr="003505D3">
        <w:rPr>
          <w:rFonts w:ascii="Times New Roman" w:hAnsi="Times New Roman"/>
          <w:b/>
          <w:sz w:val="20"/>
          <w:szCs w:val="20"/>
        </w:rPr>
        <w:t>Artesunate</w:t>
      </w:r>
      <w:r w:rsidR="008751E6" w:rsidRPr="003505D3">
        <w:rPr>
          <w:rFonts w:ascii="Times New Roman" w:hAnsi="Times New Roman"/>
          <w:sz w:val="20"/>
          <w:szCs w:val="20"/>
        </w:rPr>
        <w:t xml:space="preserve">, </w:t>
      </w:r>
      <w:r w:rsidR="008751E6">
        <w:rPr>
          <w:rFonts w:ascii="Times New Roman" w:hAnsi="Times New Roman"/>
          <w:b/>
          <w:sz w:val="20"/>
          <w:szCs w:val="20"/>
        </w:rPr>
        <w:t>S</w:t>
      </w:r>
      <w:r w:rsidR="008751E6" w:rsidRPr="003505D3">
        <w:rPr>
          <w:rFonts w:ascii="Times New Roman" w:hAnsi="Times New Roman"/>
          <w:b/>
          <w:sz w:val="20"/>
          <w:szCs w:val="20"/>
        </w:rPr>
        <w:t>ulphamethoxypyridazine</w:t>
      </w:r>
      <w:r w:rsidR="008751E6" w:rsidRPr="003505D3">
        <w:rPr>
          <w:rFonts w:ascii="Times New Roman" w:hAnsi="Times New Roman"/>
          <w:sz w:val="20"/>
          <w:szCs w:val="20"/>
        </w:rPr>
        <w:t xml:space="preserve"> and </w:t>
      </w:r>
      <w:r w:rsidR="008751E6" w:rsidRPr="003505D3">
        <w:rPr>
          <w:rFonts w:ascii="Times New Roman" w:hAnsi="Times New Roman"/>
          <w:b/>
          <w:sz w:val="20"/>
          <w:szCs w:val="20"/>
        </w:rPr>
        <w:t>Pyrimethamine</w:t>
      </w:r>
      <w:r w:rsidR="008751E6" w:rsidRPr="003505D3">
        <w:rPr>
          <w:rFonts w:ascii="Times New Roman" w:hAnsi="Times New Roman"/>
          <w:sz w:val="20"/>
          <w:szCs w:val="20"/>
        </w:rPr>
        <w:t xml:space="preserve"> APIs</w:t>
      </w:r>
      <w:r w:rsidR="008751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8751E6" w:rsidRPr="00A074AD" w:rsidTr="00E25B37">
        <w:trPr>
          <w:trHeight w:val="125"/>
        </w:trPr>
        <w:tc>
          <w:tcPr>
            <w:tcW w:w="3237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ATS/SM/PYR (5 samples)</w:t>
            </w:r>
          </w:p>
        </w:tc>
        <w:tc>
          <w:tcPr>
            <w:tcW w:w="1438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51E6" w:rsidRPr="00A074AD" w:rsidTr="000D6D62">
        <w:tc>
          <w:tcPr>
            <w:tcW w:w="3237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*SQ-TLC</w:t>
            </w:r>
          </w:p>
        </w:tc>
        <w:tc>
          <w:tcPr>
            <w:tcW w:w="1438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2 (40%)</w:t>
            </w:r>
          </w:p>
        </w:tc>
        <w:tc>
          <w:tcPr>
            <w:tcW w:w="1260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1 (20%)</w:t>
            </w:r>
          </w:p>
        </w:tc>
        <w:tc>
          <w:tcPr>
            <w:tcW w:w="1350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2 (40%)</w:t>
            </w:r>
          </w:p>
        </w:tc>
      </w:tr>
      <w:tr w:rsidR="008751E6" w:rsidRPr="00A074AD" w:rsidTr="00E25B37">
        <w:trPr>
          <w:trHeight w:val="64"/>
        </w:trPr>
        <w:tc>
          <w:tcPr>
            <w:tcW w:w="3237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8751E6" w:rsidRPr="00A074AD" w:rsidRDefault="008751E6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8751E6" w:rsidRPr="00A074AD" w:rsidRDefault="00FA0B64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751E6" w:rsidRPr="00A074AD">
              <w:rPr>
                <w:rFonts w:ascii="Times New Roman" w:hAnsi="Times New Roman"/>
                <w:sz w:val="16"/>
                <w:szCs w:val="16"/>
              </w:rPr>
              <w:t xml:space="preserve"> (100%)</w:t>
            </w:r>
          </w:p>
        </w:tc>
      </w:tr>
    </w:tbl>
    <w:p w:rsidR="003505D3" w:rsidRDefault="008751E6" w:rsidP="0029444E">
      <w:pPr>
        <w:jc w:val="both"/>
        <w:rPr>
          <w:rFonts w:ascii="Times New Roman" w:hAnsi="Times New Roman"/>
          <w:sz w:val="20"/>
          <w:szCs w:val="20"/>
        </w:rPr>
      </w:pPr>
      <w:r w:rsidRPr="00714945">
        <w:rPr>
          <w:rFonts w:ascii="Times New Roman" w:hAnsi="Times New Roman"/>
          <w:sz w:val="20"/>
          <w:szCs w:val="20"/>
        </w:rPr>
        <w:t>*these results are based on only 2 APIs instead of 3</w:t>
      </w:r>
    </w:p>
    <w:p w:rsidR="00DF00B8" w:rsidRPr="00DF00B8" w:rsidRDefault="00DF00B8" w:rsidP="00DF00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</w:t>
      </w:r>
      <w:r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2</w:t>
      </w:r>
      <w:r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5</w:t>
      </w:r>
      <w:r w:rsidRPr="00DF00B8">
        <w:rPr>
          <w:rFonts w:ascii="Times New Roman" w:hAnsi="Times New Roman"/>
          <w:sz w:val="20"/>
          <w:szCs w:val="20"/>
        </w:rPr>
        <w:t>) samples gave same results for both assays</w:t>
      </w:r>
    </w:p>
    <w:p w:rsidR="00DF00B8" w:rsidRPr="00714945" w:rsidRDefault="00DF00B8" w:rsidP="0029444E">
      <w:pPr>
        <w:jc w:val="both"/>
        <w:rPr>
          <w:rFonts w:ascii="Times New Roman" w:hAnsi="Times New Roman"/>
          <w:sz w:val="20"/>
          <w:szCs w:val="20"/>
        </w:rPr>
      </w:pPr>
    </w:p>
    <w:p w:rsidR="008751E6" w:rsidRDefault="008751E6" w:rsidP="0029444E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29444E">
      <w:pPr>
        <w:jc w:val="both"/>
        <w:rPr>
          <w:rFonts w:ascii="Times New Roman" w:hAnsi="Times New Roman"/>
          <w:sz w:val="24"/>
          <w:szCs w:val="24"/>
        </w:rPr>
      </w:pPr>
    </w:p>
    <w:p w:rsidR="00E25B37" w:rsidRDefault="00E25B37" w:rsidP="0029444E">
      <w:pPr>
        <w:jc w:val="both"/>
        <w:rPr>
          <w:rFonts w:ascii="Times New Roman" w:hAnsi="Times New Roman"/>
          <w:sz w:val="24"/>
          <w:szCs w:val="24"/>
        </w:rPr>
      </w:pPr>
    </w:p>
    <w:p w:rsidR="00E25B37" w:rsidRDefault="00E25B37" w:rsidP="0029444E">
      <w:pPr>
        <w:jc w:val="both"/>
        <w:rPr>
          <w:rFonts w:ascii="Times New Roman" w:hAnsi="Times New Roman"/>
          <w:sz w:val="24"/>
          <w:szCs w:val="24"/>
        </w:rPr>
      </w:pPr>
    </w:p>
    <w:p w:rsidR="00E25B37" w:rsidRDefault="00E25B37" w:rsidP="0029444E">
      <w:pPr>
        <w:jc w:val="both"/>
        <w:rPr>
          <w:rFonts w:ascii="Times New Roman" w:hAnsi="Times New Roman"/>
          <w:sz w:val="24"/>
          <w:szCs w:val="24"/>
        </w:rPr>
      </w:pPr>
    </w:p>
    <w:p w:rsidR="00E25B37" w:rsidRDefault="00E25B37" w:rsidP="0029444E">
      <w:pPr>
        <w:jc w:val="both"/>
        <w:rPr>
          <w:rFonts w:ascii="Times New Roman" w:hAnsi="Times New Roman"/>
          <w:sz w:val="24"/>
          <w:szCs w:val="24"/>
        </w:rPr>
      </w:pPr>
    </w:p>
    <w:p w:rsidR="00BD418D" w:rsidRPr="00E25B37" w:rsidRDefault="0029444E" w:rsidP="0029444E">
      <w:pPr>
        <w:jc w:val="both"/>
      </w:pPr>
      <w:r w:rsidRPr="008751E6">
        <w:rPr>
          <w:rFonts w:ascii="Times New Roman" w:hAnsi="Times New Roman"/>
          <w:sz w:val="20"/>
          <w:szCs w:val="20"/>
        </w:rPr>
        <w:lastRenderedPageBreak/>
        <w:t>Table II</w:t>
      </w:r>
      <w:r w:rsidR="008751E6" w:rsidRPr="008751E6">
        <w:rPr>
          <w:rFonts w:ascii="Times New Roman" w:hAnsi="Times New Roman"/>
          <w:sz w:val="20"/>
          <w:szCs w:val="20"/>
        </w:rPr>
        <w:t>I</w:t>
      </w:r>
      <w:r w:rsidR="00714945">
        <w:rPr>
          <w:rFonts w:ascii="Times New Roman" w:hAnsi="Times New Roman"/>
          <w:sz w:val="20"/>
          <w:szCs w:val="20"/>
        </w:rPr>
        <w:t>a</w:t>
      </w:r>
      <w:r w:rsidRPr="008751E6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Pr="008751E6">
        <w:rPr>
          <w:rFonts w:ascii="Times New Roman" w:hAnsi="Times New Roman"/>
          <w:b/>
          <w:sz w:val="20"/>
          <w:szCs w:val="20"/>
        </w:rPr>
        <w:t>Arte</w:t>
      </w:r>
      <w:r w:rsidR="005844E0" w:rsidRPr="008751E6">
        <w:rPr>
          <w:rFonts w:ascii="Times New Roman" w:hAnsi="Times New Roman"/>
          <w:b/>
          <w:sz w:val="20"/>
          <w:szCs w:val="20"/>
        </w:rPr>
        <w:t>m</w:t>
      </w:r>
      <w:r w:rsidR="00EC6544" w:rsidRPr="008751E6">
        <w:rPr>
          <w:rFonts w:ascii="Times New Roman" w:hAnsi="Times New Roman"/>
          <w:b/>
          <w:sz w:val="20"/>
          <w:szCs w:val="20"/>
        </w:rPr>
        <w:t>e</w:t>
      </w:r>
      <w:r w:rsidR="005844E0" w:rsidRPr="008751E6">
        <w:rPr>
          <w:rFonts w:ascii="Times New Roman" w:hAnsi="Times New Roman"/>
          <w:b/>
          <w:sz w:val="20"/>
          <w:szCs w:val="20"/>
        </w:rPr>
        <w:t xml:space="preserve">ther </w:t>
      </w:r>
      <w:r w:rsidR="005844E0" w:rsidRPr="008751E6">
        <w:rPr>
          <w:rFonts w:ascii="Times New Roman" w:hAnsi="Times New Roman"/>
          <w:sz w:val="20"/>
          <w:szCs w:val="20"/>
        </w:rPr>
        <w:t>and</w:t>
      </w:r>
      <w:r w:rsidR="005844E0" w:rsidRPr="008751E6">
        <w:rPr>
          <w:rFonts w:ascii="Times New Roman" w:hAnsi="Times New Roman"/>
          <w:b/>
          <w:sz w:val="20"/>
          <w:szCs w:val="20"/>
        </w:rPr>
        <w:t xml:space="preserve"> Lumefantrine</w:t>
      </w:r>
      <w:r w:rsidR="00E25B37">
        <w:rPr>
          <w:rFonts w:ascii="Times New Roman" w:hAnsi="Times New Roman"/>
          <w:sz w:val="20"/>
          <w:szCs w:val="20"/>
        </w:rPr>
        <w:t xml:space="preserve"> active pharmaceutical ingredients (APIs) based on the quality of the individual API components</w:t>
      </w:r>
    </w:p>
    <w:tbl>
      <w:tblPr>
        <w:tblpPr w:leftFromText="180" w:rightFromText="180" w:vertAnchor="text" w:horzAnchor="margin" w:tblpXSpec="center" w:tblpY="1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45"/>
        <w:gridCol w:w="1717"/>
        <w:gridCol w:w="1229"/>
        <w:gridCol w:w="1433"/>
        <w:gridCol w:w="1441"/>
        <w:gridCol w:w="270"/>
        <w:gridCol w:w="1260"/>
        <w:gridCol w:w="1440"/>
        <w:gridCol w:w="1350"/>
      </w:tblGrid>
      <w:tr w:rsidR="00872470" w:rsidRPr="0037228B" w:rsidTr="00CD02C4">
        <w:trPr>
          <w:trHeight w:val="67"/>
        </w:trPr>
        <w:tc>
          <w:tcPr>
            <w:tcW w:w="745" w:type="dxa"/>
            <w:vMerge w:val="restart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717" w:type="dxa"/>
            <w:vMerge w:val="restart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Label Claim (mg)</w:t>
            </w:r>
          </w:p>
        </w:tc>
        <w:tc>
          <w:tcPr>
            <w:tcW w:w="4103" w:type="dxa"/>
            <w:gridSpan w:val="3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270" w:type="dxa"/>
            <w:vMerge w:val="restart"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872470" w:rsidRPr="0037228B" w:rsidTr="00CD02C4">
        <w:trPr>
          <w:trHeight w:val="67"/>
        </w:trPr>
        <w:tc>
          <w:tcPr>
            <w:tcW w:w="745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17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2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28B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28B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</w:tr>
      <w:tr w:rsidR="00872470" w:rsidRPr="0037228B" w:rsidTr="00CD02C4">
        <w:trPr>
          <w:trHeight w:val="67"/>
        </w:trPr>
        <w:tc>
          <w:tcPr>
            <w:tcW w:w="745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ATM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LUM</w:t>
            </w:r>
          </w:p>
        </w:tc>
        <w:tc>
          <w:tcPr>
            <w:tcW w:w="1441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ATM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37228B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LUM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2470" w:rsidRPr="0037228B" w:rsidTr="00E25B37">
        <w:trPr>
          <w:trHeight w:val="215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15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98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20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43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ATM/LUM:180/1080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34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14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70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17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18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43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20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71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52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ATM/LUM:180/1080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64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14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89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70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CD02C4">
        <w:trPr>
          <w:trHeight w:val="95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43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64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5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16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5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88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6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179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7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E25B37">
        <w:trPr>
          <w:trHeight w:val="64"/>
        </w:trPr>
        <w:tc>
          <w:tcPr>
            <w:tcW w:w="745" w:type="dxa"/>
            <w:shd w:val="clear" w:color="auto" w:fill="FFFFFF" w:themeFill="background1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8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FFFFFF" w:themeFill="background1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FFFFFF" w:themeFill="background1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FFFFFF" w:themeFill="background1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43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9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41" w:type="dxa"/>
            <w:shd w:val="clear" w:color="auto" w:fill="auto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71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41" w:type="dxa"/>
            <w:shd w:val="clear" w:color="auto" w:fill="auto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64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98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89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14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872470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2470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70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5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43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34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25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16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89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8E5383" w:rsidRDefault="006B1B1C" w:rsidP="006B1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BL</w:t>
            </w:r>
            <w:r w:rsidR="00872470"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8E5383" w:rsidRDefault="006B1B1C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  <w:tr w:rsidR="00872470" w:rsidRPr="0037228B" w:rsidTr="008E5383">
        <w:trPr>
          <w:trHeight w:val="71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6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8E5383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8E5383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872470" w:rsidRPr="0037228B" w:rsidTr="008E5383">
        <w:trPr>
          <w:trHeight w:val="71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61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ATM/LUM:20/120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25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ATM/LUM:40/240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16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07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4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5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12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ATM/LUM:180/1080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80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10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152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6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ATM/LUM:180/1080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8E5383">
        <w:trPr>
          <w:trHeight w:val="64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12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37228B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872470" w:rsidRPr="00AF3C2A" w:rsidTr="008E5383">
        <w:trPr>
          <w:trHeight w:val="80"/>
        </w:trPr>
        <w:tc>
          <w:tcPr>
            <w:tcW w:w="745" w:type="dxa"/>
            <w:shd w:val="clear" w:color="auto" w:fill="auto"/>
          </w:tcPr>
          <w:p w:rsidR="00872470" w:rsidRPr="0037228B" w:rsidRDefault="00872470" w:rsidP="00E25B37">
            <w:pPr>
              <w:pStyle w:val="Subtitle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37228B">
              <w:rPr>
                <w:b w:val="0"/>
                <w:sz w:val="16"/>
                <w:szCs w:val="16"/>
                <w:lang w:val="en-US"/>
              </w:rPr>
              <w:t>1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13</w:t>
            </w:r>
            <w:r w:rsidRPr="0037228B">
              <w:rPr>
                <w:b w:val="0"/>
                <w:sz w:val="16"/>
                <w:szCs w:val="16"/>
                <w:lang w:val="en-US"/>
              </w:rPr>
              <w:t>X</w:t>
            </w:r>
            <w:r w:rsidRPr="0037228B">
              <w:rPr>
                <w:b w:val="0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72470" w:rsidRPr="00420CF3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CF3">
              <w:rPr>
                <w:rFonts w:ascii="Times New Roman" w:hAnsi="Times New Roman"/>
                <w:sz w:val="16"/>
                <w:szCs w:val="16"/>
              </w:rPr>
              <w:t>ATM/LUM:80/480</w:t>
            </w:r>
          </w:p>
        </w:tc>
        <w:tc>
          <w:tcPr>
            <w:tcW w:w="1229" w:type="dxa"/>
            <w:shd w:val="clear" w:color="auto" w:fill="auto"/>
          </w:tcPr>
          <w:p w:rsidR="00872470" w:rsidRPr="00DF0CA7" w:rsidRDefault="00872470" w:rsidP="005420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33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41" w:type="dxa"/>
            <w:shd w:val="clear" w:color="auto" w:fill="auto"/>
          </w:tcPr>
          <w:p w:rsidR="00872470" w:rsidRPr="0037228B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270" w:type="dxa"/>
            <w:vMerge/>
            <w:shd w:val="clear" w:color="auto" w:fill="auto"/>
          </w:tcPr>
          <w:p w:rsidR="00872470" w:rsidRPr="0037228B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72470" w:rsidRPr="00DF0CA7" w:rsidRDefault="00872470" w:rsidP="005420C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872470" w:rsidRPr="00DF0CA7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0CA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72470" w:rsidRPr="00AF3C2A" w:rsidRDefault="00872470" w:rsidP="00542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28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F5283D" w:rsidRDefault="00F5283D"/>
    <w:p w:rsidR="00DF0CA7" w:rsidRDefault="00DF0CA7"/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8751E6" w:rsidRDefault="008751E6" w:rsidP="00EC6544">
      <w:pPr>
        <w:jc w:val="both"/>
        <w:rPr>
          <w:rFonts w:ascii="Times New Roman" w:hAnsi="Times New Roman"/>
          <w:sz w:val="24"/>
          <w:szCs w:val="24"/>
        </w:rPr>
      </w:pPr>
    </w:p>
    <w:p w:rsidR="000D6D62" w:rsidRDefault="000D6D62" w:rsidP="000D6D62">
      <w:r w:rsidRPr="003505D3">
        <w:rPr>
          <w:rFonts w:ascii="Times New Roman" w:hAnsi="Times New Roman"/>
          <w:sz w:val="20"/>
          <w:szCs w:val="20"/>
        </w:rPr>
        <w:lastRenderedPageBreak/>
        <w:t>Table I</w:t>
      </w:r>
      <w:r w:rsidR="00714945">
        <w:rPr>
          <w:rFonts w:ascii="Times New Roman" w:hAnsi="Times New Roman"/>
          <w:sz w:val="20"/>
          <w:szCs w:val="20"/>
        </w:rPr>
        <w:t>IIb</w:t>
      </w:r>
      <w:r>
        <w:rPr>
          <w:rFonts w:ascii="Times New Roman" w:hAnsi="Times New Roman"/>
          <w:sz w:val="20"/>
          <w:szCs w:val="20"/>
        </w:rPr>
        <w:t xml:space="preserve">: Summary of results for </w:t>
      </w:r>
      <w:r w:rsidRPr="003505D3">
        <w:rPr>
          <w:rFonts w:ascii="Times New Roman" w:hAnsi="Times New Roman"/>
          <w:sz w:val="20"/>
          <w:szCs w:val="20"/>
        </w:rPr>
        <w:t xml:space="preserve">antimalarial samples containing </w:t>
      </w:r>
      <w:r w:rsidRPr="008751E6">
        <w:rPr>
          <w:rFonts w:ascii="Times New Roman" w:hAnsi="Times New Roman"/>
          <w:b/>
          <w:sz w:val="20"/>
          <w:szCs w:val="20"/>
        </w:rPr>
        <w:t xml:space="preserve">Artemether </w:t>
      </w:r>
      <w:r w:rsidRPr="008751E6">
        <w:rPr>
          <w:rFonts w:ascii="Times New Roman" w:hAnsi="Times New Roman"/>
          <w:sz w:val="20"/>
          <w:szCs w:val="20"/>
        </w:rPr>
        <w:t>and</w:t>
      </w:r>
      <w:r w:rsidRPr="008751E6">
        <w:rPr>
          <w:rFonts w:ascii="Times New Roman" w:hAnsi="Times New Roman"/>
          <w:b/>
          <w:sz w:val="20"/>
          <w:szCs w:val="20"/>
        </w:rPr>
        <w:t xml:space="preserve"> Lumefantrine</w:t>
      </w:r>
      <w:r w:rsidRPr="008751E6">
        <w:rPr>
          <w:rFonts w:ascii="Times New Roman" w:hAnsi="Times New Roman"/>
          <w:sz w:val="20"/>
          <w:szCs w:val="20"/>
        </w:rPr>
        <w:t xml:space="preserve"> </w:t>
      </w:r>
      <w:r w:rsidRPr="003505D3">
        <w:rPr>
          <w:rFonts w:ascii="Times New Roman" w:hAnsi="Times New Roman"/>
          <w:sz w:val="20"/>
          <w:szCs w:val="20"/>
        </w:rPr>
        <w:t>APIs</w:t>
      </w:r>
      <w:r>
        <w:rPr>
          <w:rFonts w:ascii="Times New Roman" w:hAnsi="Times New Roman"/>
          <w:sz w:val="20"/>
          <w:szCs w:val="20"/>
        </w:rPr>
        <w:t xml:space="preserve"> </w:t>
      </w:r>
      <w:r w:rsidR="00E25B37"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0D6D62" w:rsidRPr="00A074AD" w:rsidTr="00E25B37">
        <w:trPr>
          <w:trHeight w:val="251"/>
        </w:trPr>
        <w:tc>
          <w:tcPr>
            <w:tcW w:w="3237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ATM/LUM (41 samples)</w:t>
            </w:r>
          </w:p>
        </w:tc>
        <w:tc>
          <w:tcPr>
            <w:tcW w:w="1438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0D6D62" w:rsidRPr="00A074AD" w:rsidTr="00E25B37">
        <w:trPr>
          <w:trHeight w:val="242"/>
        </w:trPr>
        <w:tc>
          <w:tcPr>
            <w:tcW w:w="3237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438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2 (4.88%)</w:t>
            </w:r>
          </w:p>
        </w:tc>
        <w:tc>
          <w:tcPr>
            <w:tcW w:w="126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4 (9.76%)</w:t>
            </w:r>
          </w:p>
        </w:tc>
        <w:tc>
          <w:tcPr>
            <w:tcW w:w="135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35 (85.36%)</w:t>
            </w:r>
          </w:p>
        </w:tc>
      </w:tr>
      <w:tr w:rsidR="000D6D62" w:rsidRPr="00A074AD" w:rsidTr="00E25B37">
        <w:trPr>
          <w:trHeight w:val="89"/>
        </w:trPr>
        <w:tc>
          <w:tcPr>
            <w:tcW w:w="3237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2 (4.88)</w:t>
            </w:r>
          </w:p>
        </w:tc>
        <w:tc>
          <w:tcPr>
            <w:tcW w:w="1260" w:type="dxa"/>
          </w:tcPr>
          <w:p w:rsidR="000D6D62" w:rsidRPr="00A074AD" w:rsidRDefault="00DF4E2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(2.44%)</w:t>
            </w:r>
          </w:p>
        </w:tc>
        <w:tc>
          <w:tcPr>
            <w:tcW w:w="1350" w:type="dxa"/>
          </w:tcPr>
          <w:p w:rsidR="000D6D62" w:rsidRPr="00A074AD" w:rsidRDefault="00DF4E22" w:rsidP="00DF4E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0D6D62" w:rsidRPr="00A074AD">
              <w:rPr>
                <w:rFonts w:ascii="Times New Roman" w:hAnsi="Times New Roman"/>
                <w:sz w:val="16"/>
                <w:szCs w:val="16"/>
              </w:rPr>
              <w:t xml:space="preserve"> (9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D6D62" w:rsidRPr="00A074A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="000D6D62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</w:tbl>
    <w:p w:rsidR="000D6D62" w:rsidRPr="00D505E8" w:rsidRDefault="00D505E8" w:rsidP="00D505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85.36</w:t>
      </w:r>
      <w:r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35</w:t>
      </w:r>
      <w:r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41</w:t>
      </w:r>
      <w:r w:rsidRPr="00DF00B8">
        <w:rPr>
          <w:rFonts w:ascii="Times New Roman" w:hAnsi="Times New Roman"/>
          <w:sz w:val="20"/>
          <w:szCs w:val="20"/>
        </w:rPr>
        <w:t>) samples gave same results for both assays</w:t>
      </w:r>
    </w:p>
    <w:p w:rsidR="000D6D62" w:rsidRDefault="000D6D62" w:rsidP="00EC6544">
      <w:pPr>
        <w:jc w:val="both"/>
        <w:rPr>
          <w:rFonts w:ascii="Times New Roman" w:hAnsi="Times New Roman"/>
          <w:sz w:val="24"/>
          <w:szCs w:val="24"/>
        </w:rPr>
      </w:pPr>
    </w:p>
    <w:p w:rsidR="00DF0CA7" w:rsidRDefault="005844E0" w:rsidP="00EC6544">
      <w:pPr>
        <w:jc w:val="both"/>
      </w:pPr>
      <w:r w:rsidRPr="000D6D62">
        <w:rPr>
          <w:rFonts w:ascii="Times New Roman" w:hAnsi="Times New Roman"/>
          <w:sz w:val="20"/>
          <w:szCs w:val="20"/>
        </w:rPr>
        <w:t xml:space="preserve">Table </w:t>
      </w:r>
      <w:r w:rsidR="000D6D62" w:rsidRPr="000D6D62">
        <w:rPr>
          <w:rFonts w:ascii="Times New Roman" w:hAnsi="Times New Roman"/>
          <w:sz w:val="20"/>
          <w:szCs w:val="20"/>
        </w:rPr>
        <w:t>IVa</w:t>
      </w:r>
      <w:r w:rsidRPr="000D6D62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Pr="000D6D62">
        <w:rPr>
          <w:rFonts w:ascii="Times New Roman" w:hAnsi="Times New Roman"/>
          <w:b/>
          <w:sz w:val="20"/>
          <w:szCs w:val="20"/>
        </w:rPr>
        <w:t>Dihydroartemisinin,</w:t>
      </w:r>
      <w:r w:rsidRPr="000D6D62">
        <w:rPr>
          <w:rFonts w:ascii="Times New Roman" w:hAnsi="Times New Roman"/>
          <w:sz w:val="20"/>
          <w:szCs w:val="20"/>
        </w:rPr>
        <w:t xml:space="preserve"> </w:t>
      </w:r>
      <w:r w:rsidRPr="000D6D62">
        <w:rPr>
          <w:rFonts w:ascii="Times New Roman" w:hAnsi="Times New Roman"/>
          <w:b/>
          <w:sz w:val="20"/>
          <w:szCs w:val="20"/>
        </w:rPr>
        <w:t>Sulphadoxine</w:t>
      </w:r>
      <w:r w:rsidRPr="000D6D62">
        <w:rPr>
          <w:rFonts w:ascii="Times New Roman" w:hAnsi="Times New Roman"/>
          <w:sz w:val="20"/>
          <w:szCs w:val="20"/>
        </w:rPr>
        <w:t xml:space="preserve"> and </w:t>
      </w:r>
      <w:r w:rsidRPr="000D6D62">
        <w:rPr>
          <w:rFonts w:ascii="Times New Roman" w:hAnsi="Times New Roman"/>
          <w:b/>
          <w:sz w:val="20"/>
          <w:szCs w:val="20"/>
        </w:rPr>
        <w:t>Pyrimethamine</w:t>
      </w:r>
      <w:r w:rsidRPr="000D6D62">
        <w:rPr>
          <w:rFonts w:ascii="Times New Roman" w:hAnsi="Times New Roman"/>
          <w:sz w:val="20"/>
          <w:szCs w:val="20"/>
        </w:rPr>
        <w:t xml:space="preserve"> </w:t>
      </w:r>
      <w:r w:rsidR="00E25B37">
        <w:rPr>
          <w:rFonts w:ascii="Times New Roman" w:hAnsi="Times New Roman"/>
          <w:sz w:val="20"/>
          <w:szCs w:val="20"/>
        </w:rPr>
        <w:t>active pharmaceutical ingredients (APIs) based on the quality of the individual API components</w:t>
      </w:r>
    </w:p>
    <w:tbl>
      <w:tblPr>
        <w:tblpPr w:leftFromText="180" w:rightFromText="180" w:vertAnchor="text" w:horzAnchor="margin" w:tblpXSpec="center" w:tblpY="12"/>
        <w:tblW w:w="1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29"/>
        <w:gridCol w:w="1039"/>
        <w:gridCol w:w="1126"/>
        <w:gridCol w:w="1302"/>
        <w:gridCol w:w="1132"/>
        <w:gridCol w:w="454"/>
        <w:gridCol w:w="794"/>
        <w:gridCol w:w="908"/>
        <w:gridCol w:w="946"/>
        <w:gridCol w:w="990"/>
      </w:tblGrid>
      <w:tr w:rsidR="00872470" w:rsidRPr="006A257C" w:rsidTr="00D505E8">
        <w:trPr>
          <w:trHeight w:val="145"/>
        </w:trPr>
        <w:tc>
          <w:tcPr>
            <w:tcW w:w="625" w:type="dxa"/>
            <w:vMerge w:val="restart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Label Claim (mg)</w:t>
            </w:r>
          </w:p>
        </w:tc>
        <w:tc>
          <w:tcPr>
            <w:tcW w:w="4599" w:type="dxa"/>
            <w:gridSpan w:val="4"/>
          </w:tcPr>
          <w:p w:rsidR="00872470" w:rsidRPr="006A257C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454" w:type="dxa"/>
            <w:vMerge w:val="restart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38" w:type="dxa"/>
            <w:gridSpan w:val="4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872470" w:rsidRPr="006A257C" w:rsidTr="00D505E8">
        <w:trPr>
          <w:trHeight w:val="145"/>
        </w:trPr>
        <w:tc>
          <w:tcPr>
            <w:tcW w:w="625" w:type="dxa"/>
            <w:vMerge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3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1132" w:type="dxa"/>
            <w:vMerge w:val="restart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48" w:type="dxa"/>
            <w:gridSpan w:val="3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990" w:type="dxa"/>
            <w:vMerge w:val="restart"/>
          </w:tcPr>
          <w:p w:rsidR="00872470" w:rsidRPr="006A257C" w:rsidRDefault="00872470" w:rsidP="00E25B37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</w:tr>
      <w:tr w:rsidR="00872470" w:rsidRPr="006A257C" w:rsidTr="00D505E8">
        <w:trPr>
          <w:trHeight w:val="135"/>
        </w:trPr>
        <w:tc>
          <w:tcPr>
            <w:tcW w:w="625" w:type="dxa"/>
            <w:vMerge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PYR</w:t>
            </w:r>
          </w:p>
        </w:tc>
        <w:tc>
          <w:tcPr>
            <w:tcW w:w="1132" w:type="dxa"/>
            <w:vMerge/>
          </w:tcPr>
          <w:p w:rsidR="00872470" w:rsidRPr="006A257C" w:rsidRDefault="00872470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PYR</w:t>
            </w:r>
          </w:p>
        </w:tc>
        <w:tc>
          <w:tcPr>
            <w:tcW w:w="990" w:type="dxa"/>
            <w:vMerge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2470" w:rsidRPr="006A257C" w:rsidTr="00D505E8">
        <w:trPr>
          <w:trHeight w:val="126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24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207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60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51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24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 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15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06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88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70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6A257C" w:rsidTr="00D505E8">
        <w:trPr>
          <w:trHeight w:val="199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6A257C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872470" w:rsidRPr="0037228B" w:rsidTr="00D505E8">
        <w:trPr>
          <w:trHeight w:val="198"/>
        </w:trPr>
        <w:tc>
          <w:tcPr>
            <w:tcW w:w="625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DHA/SDX/PYR:60/500/25</w:t>
            </w:r>
          </w:p>
        </w:tc>
        <w:tc>
          <w:tcPr>
            <w:tcW w:w="1039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26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NC</w:t>
            </w:r>
          </w:p>
        </w:tc>
        <w:tc>
          <w:tcPr>
            <w:tcW w:w="1302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2" w:type="dxa"/>
          </w:tcPr>
          <w:p w:rsidR="00872470" w:rsidRPr="006A257C" w:rsidRDefault="00DF0CA7" w:rsidP="00E2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454" w:type="dxa"/>
            <w:vMerge/>
          </w:tcPr>
          <w:p w:rsidR="00872470" w:rsidRPr="006A257C" w:rsidRDefault="00872470" w:rsidP="00E25B37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08" w:type="dxa"/>
          </w:tcPr>
          <w:p w:rsidR="00872470" w:rsidRPr="006A257C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946" w:type="dxa"/>
          </w:tcPr>
          <w:p w:rsidR="00872470" w:rsidRPr="00AF3C2A" w:rsidRDefault="00872470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:rsidR="00872470" w:rsidRPr="0037228B" w:rsidRDefault="00DF0CA7" w:rsidP="00E2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A074AD" w:rsidRDefault="00A074AD" w:rsidP="000D6D62">
      <w:pPr>
        <w:rPr>
          <w:rFonts w:ascii="Times New Roman" w:hAnsi="Times New Roman"/>
          <w:sz w:val="20"/>
          <w:szCs w:val="20"/>
        </w:rPr>
      </w:pPr>
    </w:p>
    <w:p w:rsidR="000D6D62" w:rsidRPr="00A074AD" w:rsidRDefault="000D6D62" w:rsidP="000D6D62">
      <w:pPr>
        <w:rPr>
          <w:sz w:val="20"/>
          <w:szCs w:val="20"/>
        </w:rPr>
      </w:pPr>
      <w:r w:rsidRPr="003505D3">
        <w:rPr>
          <w:rFonts w:ascii="Times New Roman" w:hAnsi="Times New Roman"/>
          <w:sz w:val="20"/>
          <w:szCs w:val="20"/>
        </w:rPr>
        <w:t>Table I</w:t>
      </w:r>
      <w:r>
        <w:rPr>
          <w:rFonts w:ascii="Times New Roman" w:hAnsi="Times New Roman"/>
          <w:sz w:val="20"/>
          <w:szCs w:val="20"/>
        </w:rPr>
        <w:t xml:space="preserve">Vb: Summary of results for </w:t>
      </w:r>
      <w:r w:rsidRPr="003505D3">
        <w:rPr>
          <w:rFonts w:ascii="Times New Roman" w:hAnsi="Times New Roman"/>
          <w:sz w:val="20"/>
          <w:szCs w:val="20"/>
        </w:rPr>
        <w:t xml:space="preserve">antimalarial samples </w:t>
      </w:r>
      <w:r w:rsidRPr="00A074AD">
        <w:rPr>
          <w:rFonts w:ascii="Times New Roman" w:hAnsi="Times New Roman"/>
          <w:sz w:val="20"/>
          <w:szCs w:val="20"/>
        </w:rPr>
        <w:t xml:space="preserve">containing </w:t>
      </w:r>
      <w:r w:rsidRPr="00A074AD">
        <w:rPr>
          <w:rFonts w:ascii="Times New Roman" w:hAnsi="Times New Roman"/>
          <w:b/>
          <w:sz w:val="20"/>
          <w:szCs w:val="20"/>
        </w:rPr>
        <w:t>Dihydroartemisinin,</w:t>
      </w:r>
      <w:r w:rsidRPr="00A074AD">
        <w:rPr>
          <w:rFonts w:ascii="Times New Roman" w:hAnsi="Times New Roman"/>
          <w:sz w:val="20"/>
          <w:szCs w:val="20"/>
        </w:rPr>
        <w:t xml:space="preserve"> </w:t>
      </w:r>
      <w:r w:rsidRPr="00A074AD">
        <w:rPr>
          <w:rFonts w:ascii="Times New Roman" w:hAnsi="Times New Roman"/>
          <w:b/>
          <w:sz w:val="20"/>
          <w:szCs w:val="20"/>
        </w:rPr>
        <w:t>Sulphadoxine</w:t>
      </w:r>
      <w:r w:rsidRPr="00A074AD">
        <w:rPr>
          <w:rFonts w:ascii="Times New Roman" w:hAnsi="Times New Roman"/>
          <w:sz w:val="20"/>
          <w:szCs w:val="20"/>
        </w:rPr>
        <w:t xml:space="preserve"> and </w:t>
      </w:r>
      <w:r w:rsidRPr="00A074AD">
        <w:rPr>
          <w:rFonts w:ascii="Times New Roman" w:hAnsi="Times New Roman"/>
          <w:b/>
          <w:sz w:val="20"/>
          <w:szCs w:val="20"/>
        </w:rPr>
        <w:t>Pyrimethamine</w:t>
      </w:r>
      <w:r w:rsidRPr="00A074AD">
        <w:rPr>
          <w:rFonts w:ascii="Times New Roman" w:hAnsi="Times New Roman"/>
          <w:sz w:val="20"/>
          <w:szCs w:val="20"/>
        </w:rPr>
        <w:t xml:space="preserve"> APIs </w:t>
      </w:r>
      <w:r w:rsidR="00E25B37"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0D6D62" w:rsidRPr="00A074AD" w:rsidTr="000D6D62">
        <w:tc>
          <w:tcPr>
            <w:tcW w:w="3237" w:type="dxa"/>
          </w:tcPr>
          <w:p w:rsidR="000D6D62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 xml:space="preserve">DHA/SDX/PYR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(12</w:t>
            </w:r>
            <w:r w:rsidR="000D6D62" w:rsidRPr="00A074AD">
              <w:rPr>
                <w:rFonts w:ascii="Times New Roman" w:hAnsi="Times New Roman"/>
                <w:b/>
                <w:sz w:val="16"/>
                <w:szCs w:val="16"/>
              </w:rPr>
              <w:t xml:space="preserve"> samples)</w:t>
            </w:r>
          </w:p>
        </w:tc>
        <w:tc>
          <w:tcPr>
            <w:tcW w:w="1438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A074AD" w:rsidRPr="00A074AD" w:rsidTr="000D6D62">
        <w:tc>
          <w:tcPr>
            <w:tcW w:w="3237" w:type="dxa"/>
          </w:tcPr>
          <w:p w:rsidR="00A074AD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438" w:type="dxa"/>
          </w:tcPr>
          <w:p w:rsidR="00A074AD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A074AD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A074AD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(100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  <w:tr w:rsidR="000D6D62" w:rsidRPr="00A074AD" w:rsidTr="000D6D62">
        <w:tc>
          <w:tcPr>
            <w:tcW w:w="3237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0D6D62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0D6D62" w:rsidRPr="00A074AD" w:rsidRDefault="000D6D62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0D6D62" w:rsidRPr="00A074AD" w:rsidRDefault="00A074AD" w:rsidP="00E25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(100</w:t>
            </w:r>
            <w:r w:rsidR="000D6D62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</w:tbl>
    <w:p w:rsidR="00D505E8" w:rsidRPr="00DF00B8" w:rsidRDefault="00D505E8" w:rsidP="00D505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100</w:t>
      </w:r>
      <w:r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12</w:t>
      </w:r>
      <w:r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12)</w:t>
      </w:r>
      <w:r w:rsidRPr="00DF00B8">
        <w:rPr>
          <w:rFonts w:ascii="Times New Roman" w:hAnsi="Times New Roman"/>
          <w:sz w:val="20"/>
          <w:szCs w:val="20"/>
        </w:rPr>
        <w:t xml:space="preserve"> samples gave same results for both assays</w:t>
      </w:r>
    </w:p>
    <w:p w:rsidR="000364C6" w:rsidRDefault="000364C6"/>
    <w:p w:rsidR="00714945" w:rsidRDefault="00714945" w:rsidP="00283527">
      <w:pPr>
        <w:jc w:val="both"/>
        <w:rPr>
          <w:rFonts w:ascii="Times New Roman" w:hAnsi="Times New Roman"/>
          <w:sz w:val="20"/>
          <w:szCs w:val="20"/>
        </w:rPr>
      </w:pPr>
    </w:p>
    <w:p w:rsidR="00DF0CA7" w:rsidRDefault="00A074AD" w:rsidP="00283527">
      <w:pPr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Table </w:t>
      </w:r>
      <w:r w:rsidR="00283527" w:rsidRPr="00A074AD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</w:t>
      </w:r>
      <w:r w:rsidR="00283527" w:rsidRPr="00A074AD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="00283527" w:rsidRPr="00A074AD">
        <w:rPr>
          <w:rFonts w:ascii="Times New Roman" w:hAnsi="Times New Roman"/>
          <w:b/>
          <w:sz w:val="20"/>
          <w:szCs w:val="20"/>
        </w:rPr>
        <w:t>Sulphadoxine</w:t>
      </w:r>
      <w:r w:rsidR="00283527" w:rsidRPr="00A074AD">
        <w:rPr>
          <w:rFonts w:ascii="Times New Roman" w:hAnsi="Times New Roman"/>
          <w:sz w:val="20"/>
          <w:szCs w:val="20"/>
        </w:rPr>
        <w:t xml:space="preserve"> and </w:t>
      </w:r>
      <w:r w:rsidR="00283527" w:rsidRPr="00A074AD">
        <w:rPr>
          <w:rFonts w:ascii="Times New Roman" w:hAnsi="Times New Roman"/>
          <w:b/>
          <w:sz w:val="20"/>
          <w:szCs w:val="20"/>
        </w:rPr>
        <w:t>Pyrimethamine</w:t>
      </w:r>
      <w:r w:rsidR="00283527" w:rsidRPr="00A074AD">
        <w:rPr>
          <w:rFonts w:ascii="Times New Roman" w:hAnsi="Times New Roman"/>
          <w:sz w:val="20"/>
          <w:szCs w:val="20"/>
        </w:rPr>
        <w:t xml:space="preserve"> </w:t>
      </w:r>
      <w:r w:rsidR="002E0729">
        <w:rPr>
          <w:rFonts w:ascii="Times New Roman" w:hAnsi="Times New Roman"/>
          <w:sz w:val="20"/>
          <w:szCs w:val="20"/>
        </w:rPr>
        <w:t>active pharmaceutical ingredients (APIs) based on the quality of the individual API components</w:t>
      </w:r>
    </w:p>
    <w:tbl>
      <w:tblPr>
        <w:tblpPr w:leftFromText="180" w:rightFromText="180" w:vertAnchor="text" w:horzAnchor="margin" w:tblpXSpec="center" w:tblpY="14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45"/>
        <w:gridCol w:w="2130"/>
        <w:gridCol w:w="1440"/>
        <w:gridCol w:w="1440"/>
        <w:gridCol w:w="1080"/>
        <w:gridCol w:w="540"/>
        <w:gridCol w:w="1350"/>
        <w:gridCol w:w="1350"/>
        <w:gridCol w:w="900"/>
      </w:tblGrid>
      <w:tr w:rsidR="002E0729" w:rsidRPr="00A074AD" w:rsidTr="002E0729">
        <w:trPr>
          <w:trHeight w:val="67"/>
        </w:trPr>
        <w:tc>
          <w:tcPr>
            <w:tcW w:w="745" w:type="dxa"/>
            <w:vMerge w:val="restart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2130" w:type="dxa"/>
            <w:vMerge w:val="restart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Label Claim (mg)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:rsidR="002E0729" w:rsidRPr="00A074AD" w:rsidRDefault="002E0729" w:rsidP="002E0729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shd w:val="clear" w:color="auto" w:fill="FFFFFF" w:themeFill="background1"/>
          </w:tcPr>
          <w:p w:rsidR="002E0729" w:rsidRPr="00A074AD" w:rsidRDefault="002E0729" w:rsidP="002E0729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2E0729" w:rsidRPr="00A074AD" w:rsidTr="002E0729">
        <w:trPr>
          <w:trHeight w:val="67"/>
        </w:trPr>
        <w:tc>
          <w:tcPr>
            <w:tcW w:w="745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2E0729" w:rsidRPr="00A074AD" w:rsidRDefault="002E0729" w:rsidP="002E0729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Cs/>
                <w:sz w:val="16"/>
                <w:szCs w:val="16"/>
              </w:rPr>
              <w:t>Quality of individual API components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2E0729" w:rsidRPr="00A074AD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Quality of sample as a whole</w:t>
            </w:r>
          </w:p>
        </w:tc>
      </w:tr>
      <w:tr w:rsidR="002E0729" w:rsidRPr="00A074AD" w:rsidTr="002E0729">
        <w:trPr>
          <w:trHeight w:val="133"/>
        </w:trPr>
        <w:tc>
          <w:tcPr>
            <w:tcW w:w="745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</w:p>
        </w:tc>
        <w:tc>
          <w:tcPr>
            <w:tcW w:w="1440" w:type="dxa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PYR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</w:p>
        </w:tc>
        <w:tc>
          <w:tcPr>
            <w:tcW w:w="1350" w:type="dxa"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PYR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0729" w:rsidRPr="008E5383" w:rsidTr="008E5383">
        <w:trPr>
          <w:trHeight w:val="67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63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200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33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1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64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tabs>
                <w:tab w:val="center" w:pos="522"/>
                <w:tab w:val="right" w:pos="10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tabs>
                <w:tab w:val="center" w:pos="522"/>
                <w:tab w:val="right" w:pos="10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88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tabs>
                <w:tab w:val="center" w:pos="522"/>
                <w:tab w:val="right" w:pos="10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tabs>
                <w:tab w:val="center" w:pos="522"/>
                <w:tab w:val="right" w:pos="10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81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46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81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5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172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2E0729" w:rsidRPr="008E5383" w:rsidTr="008E5383">
        <w:trPr>
          <w:trHeight w:val="92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7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3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8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BLC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8E5383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2E0729" w:rsidRPr="00A074AD" w:rsidTr="008E5383">
        <w:trPr>
          <w:trHeight w:val="197"/>
        </w:trPr>
        <w:tc>
          <w:tcPr>
            <w:tcW w:w="745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4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8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P</w:t>
            </w:r>
            <w:r w:rsidRPr="008E5383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SDX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/PYR:</w:t>
            </w: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500</w:t>
            </w:r>
            <w:r w:rsidRPr="008E5383">
              <w:rPr>
                <w:rFonts w:ascii="Times New Roman" w:hAnsi="Times New Roman"/>
                <w:sz w:val="16"/>
                <w:szCs w:val="16"/>
              </w:rPr>
              <w:t>/25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08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  <w:vMerge/>
            <w:shd w:val="clear" w:color="auto" w:fill="auto"/>
          </w:tcPr>
          <w:p w:rsidR="002E0729" w:rsidRPr="008E5383" w:rsidRDefault="002E0729" w:rsidP="002E0729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NC</w:t>
            </w:r>
          </w:p>
        </w:tc>
        <w:tc>
          <w:tcPr>
            <w:tcW w:w="1350" w:type="dxa"/>
            <w:shd w:val="clear" w:color="auto" w:fill="auto"/>
          </w:tcPr>
          <w:p w:rsidR="002E0729" w:rsidRPr="008E5383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38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900" w:type="dxa"/>
            <w:shd w:val="clear" w:color="auto" w:fill="auto"/>
          </w:tcPr>
          <w:p w:rsidR="002E0729" w:rsidRPr="00A074AD" w:rsidRDefault="002E0729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5383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0364C6" w:rsidRDefault="000364C6"/>
    <w:p w:rsidR="00F5283D" w:rsidRDefault="00F5283D"/>
    <w:p w:rsidR="00ED1BC1" w:rsidRDefault="00ED1BC1"/>
    <w:p w:rsidR="00F5283D" w:rsidRDefault="00F5283D"/>
    <w:p w:rsidR="00DF0CA7" w:rsidRDefault="00DF0CA7"/>
    <w:p w:rsidR="00DF0CA7" w:rsidRDefault="00DF0CA7"/>
    <w:p w:rsidR="00DF0CA7" w:rsidRDefault="00DF0CA7"/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2E0729" w:rsidRDefault="002E0729" w:rsidP="00A074AD">
      <w:pPr>
        <w:rPr>
          <w:rFonts w:ascii="Times New Roman" w:hAnsi="Times New Roman"/>
          <w:sz w:val="20"/>
          <w:szCs w:val="20"/>
        </w:rPr>
      </w:pPr>
    </w:p>
    <w:p w:rsidR="00A074AD" w:rsidRPr="00A074AD" w:rsidRDefault="00714945" w:rsidP="00A074AD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</w:t>
      </w:r>
      <w:r w:rsidR="00A074AD">
        <w:rPr>
          <w:rFonts w:ascii="Times New Roman" w:hAnsi="Times New Roman"/>
          <w:sz w:val="20"/>
          <w:szCs w:val="20"/>
        </w:rPr>
        <w:t xml:space="preserve">Vb: Summary of results for </w:t>
      </w:r>
      <w:r w:rsidR="00A074AD" w:rsidRPr="003505D3">
        <w:rPr>
          <w:rFonts w:ascii="Times New Roman" w:hAnsi="Times New Roman"/>
          <w:sz w:val="20"/>
          <w:szCs w:val="20"/>
        </w:rPr>
        <w:t xml:space="preserve">antimalarial samples </w:t>
      </w:r>
      <w:r w:rsidR="00A074AD" w:rsidRPr="00A074AD">
        <w:rPr>
          <w:rFonts w:ascii="Times New Roman" w:hAnsi="Times New Roman"/>
          <w:sz w:val="20"/>
          <w:szCs w:val="20"/>
        </w:rPr>
        <w:t xml:space="preserve">containing </w:t>
      </w:r>
      <w:r w:rsidR="00A074AD" w:rsidRPr="00A074AD">
        <w:rPr>
          <w:rFonts w:ascii="Times New Roman" w:hAnsi="Times New Roman"/>
          <w:b/>
          <w:sz w:val="20"/>
          <w:szCs w:val="20"/>
        </w:rPr>
        <w:t>Sulphadoxine</w:t>
      </w:r>
      <w:r w:rsidR="00A074AD" w:rsidRPr="00A074AD">
        <w:rPr>
          <w:rFonts w:ascii="Times New Roman" w:hAnsi="Times New Roman"/>
          <w:sz w:val="20"/>
          <w:szCs w:val="20"/>
        </w:rPr>
        <w:t xml:space="preserve"> and </w:t>
      </w:r>
      <w:r w:rsidR="00A074AD" w:rsidRPr="00A074AD">
        <w:rPr>
          <w:rFonts w:ascii="Times New Roman" w:hAnsi="Times New Roman"/>
          <w:b/>
          <w:sz w:val="20"/>
          <w:szCs w:val="20"/>
        </w:rPr>
        <w:t>Pyrimethamine</w:t>
      </w:r>
      <w:r w:rsidR="00A074AD" w:rsidRPr="00A074AD">
        <w:rPr>
          <w:rFonts w:ascii="Times New Roman" w:hAnsi="Times New Roman"/>
          <w:sz w:val="20"/>
          <w:szCs w:val="20"/>
        </w:rPr>
        <w:t xml:space="preserve"> APIs </w:t>
      </w:r>
      <w:r w:rsidR="00E25B37"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A074AD" w:rsidRPr="00A074AD" w:rsidTr="00DA38FB">
        <w:tc>
          <w:tcPr>
            <w:tcW w:w="3237" w:type="dxa"/>
          </w:tcPr>
          <w:p w:rsidR="00A074AD" w:rsidRPr="00620650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0650">
              <w:rPr>
                <w:rFonts w:ascii="Times New Roman" w:hAnsi="Times New Roman"/>
                <w:b/>
                <w:sz w:val="16"/>
                <w:szCs w:val="16"/>
              </w:rPr>
              <w:t xml:space="preserve">SDX/PYR </w:t>
            </w:r>
            <w:r w:rsidR="00714945" w:rsidRPr="00620650">
              <w:rPr>
                <w:rFonts w:ascii="Times New Roman" w:hAnsi="Times New Roman"/>
                <w:b/>
                <w:sz w:val="16"/>
                <w:szCs w:val="16"/>
              </w:rPr>
              <w:t>(23</w:t>
            </w:r>
            <w:r w:rsidR="00A074AD" w:rsidRPr="00620650">
              <w:rPr>
                <w:rFonts w:ascii="Times New Roman" w:hAnsi="Times New Roman"/>
                <w:b/>
                <w:sz w:val="16"/>
                <w:szCs w:val="16"/>
              </w:rPr>
              <w:t xml:space="preserve"> samples)</w:t>
            </w:r>
          </w:p>
        </w:tc>
        <w:tc>
          <w:tcPr>
            <w:tcW w:w="1438" w:type="dxa"/>
          </w:tcPr>
          <w:p w:rsidR="00A074AD" w:rsidRPr="00A074AD" w:rsidRDefault="00A074AD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A074AD" w:rsidRPr="00A074AD" w:rsidRDefault="00A074AD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A074AD" w:rsidRPr="00A074AD" w:rsidRDefault="00A074AD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A074AD" w:rsidRPr="00A074AD" w:rsidTr="00DA38FB">
        <w:tc>
          <w:tcPr>
            <w:tcW w:w="3237" w:type="dxa"/>
          </w:tcPr>
          <w:p w:rsidR="00A074AD" w:rsidRPr="00620650" w:rsidRDefault="00A074AD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0650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438" w:type="dxa"/>
          </w:tcPr>
          <w:p w:rsidR="00A074AD" w:rsidRPr="00A074AD" w:rsidRDefault="00714945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13.04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260" w:type="dxa"/>
          </w:tcPr>
          <w:p w:rsidR="00A074AD" w:rsidRPr="00A074AD" w:rsidRDefault="00714945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34.78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</w:tcPr>
          <w:p w:rsidR="00A074AD" w:rsidRPr="00A074AD" w:rsidRDefault="00714945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52.17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  <w:tr w:rsidR="00A074AD" w:rsidRPr="00A074AD" w:rsidTr="00DA38FB">
        <w:tc>
          <w:tcPr>
            <w:tcW w:w="3237" w:type="dxa"/>
          </w:tcPr>
          <w:p w:rsidR="00A074AD" w:rsidRPr="00620650" w:rsidRDefault="00A074AD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0650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A074AD" w:rsidRPr="00A074AD" w:rsidRDefault="00714945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(8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70%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A074AD" w:rsidRPr="00A074AD" w:rsidRDefault="00A074AD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7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A074AD" w:rsidRPr="00A074AD" w:rsidRDefault="00714945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 xml:space="preserve"> (9</w:t>
            </w:r>
            <w:r>
              <w:rPr>
                <w:rFonts w:ascii="Times New Roman" w:hAnsi="Times New Roman"/>
                <w:sz w:val="16"/>
                <w:szCs w:val="16"/>
              </w:rPr>
              <w:t>1.30</w:t>
            </w:r>
            <w:r w:rsidR="00A074AD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</w:tbl>
    <w:p w:rsidR="005764F8" w:rsidRPr="00DF00B8" w:rsidRDefault="005764F8" w:rsidP="005764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53.84</w:t>
      </w:r>
      <w:r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14</w:t>
      </w:r>
      <w:r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23</w:t>
      </w:r>
      <w:r w:rsidRPr="00DF00B8">
        <w:rPr>
          <w:rFonts w:ascii="Times New Roman" w:hAnsi="Times New Roman"/>
          <w:sz w:val="20"/>
          <w:szCs w:val="20"/>
        </w:rPr>
        <w:t>) samples gave same results for both assays</w:t>
      </w:r>
    </w:p>
    <w:p w:rsidR="00620650" w:rsidRDefault="00620650"/>
    <w:p w:rsidR="002E0729" w:rsidRDefault="00283527" w:rsidP="002E0729">
      <w:pPr>
        <w:jc w:val="both"/>
      </w:pPr>
      <w:r w:rsidRPr="00620650">
        <w:rPr>
          <w:rFonts w:ascii="Times New Roman" w:hAnsi="Times New Roman"/>
          <w:sz w:val="20"/>
          <w:szCs w:val="20"/>
        </w:rPr>
        <w:lastRenderedPageBreak/>
        <w:t>Table V</w:t>
      </w:r>
      <w:r w:rsidR="00620650">
        <w:rPr>
          <w:rFonts w:ascii="Times New Roman" w:hAnsi="Times New Roman"/>
          <w:sz w:val="20"/>
          <w:szCs w:val="20"/>
        </w:rPr>
        <w:t>Ia</w:t>
      </w:r>
      <w:r w:rsidRPr="00620650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Pr="00620650">
        <w:rPr>
          <w:rFonts w:ascii="Times New Roman" w:hAnsi="Times New Roman"/>
          <w:b/>
          <w:sz w:val="20"/>
          <w:szCs w:val="20"/>
        </w:rPr>
        <w:t>Dihydroartemisinin</w:t>
      </w:r>
      <w:r w:rsidRPr="00620650">
        <w:rPr>
          <w:rFonts w:ascii="Times New Roman" w:hAnsi="Times New Roman"/>
          <w:sz w:val="20"/>
          <w:szCs w:val="20"/>
        </w:rPr>
        <w:t xml:space="preserve"> and </w:t>
      </w:r>
      <w:r w:rsidRPr="00620650">
        <w:rPr>
          <w:rFonts w:ascii="Times New Roman" w:hAnsi="Times New Roman"/>
          <w:b/>
          <w:sz w:val="20"/>
          <w:szCs w:val="20"/>
        </w:rPr>
        <w:t>Piperaquine</w:t>
      </w:r>
      <w:r w:rsidRPr="00620650">
        <w:rPr>
          <w:rFonts w:ascii="Times New Roman" w:hAnsi="Times New Roman"/>
          <w:sz w:val="20"/>
          <w:szCs w:val="20"/>
        </w:rPr>
        <w:t xml:space="preserve"> </w:t>
      </w:r>
      <w:r w:rsidR="002E0729">
        <w:rPr>
          <w:rFonts w:ascii="Times New Roman" w:hAnsi="Times New Roman"/>
          <w:sz w:val="20"/>
          <w:szCs w:val="20"/>
        </w:rPr>
        <w:t>active pharmaceutical ingredients (APIs) based on the quality of the individual API components</w:t>
      </w:r>
    </w:p>
    <w:tbl>
      <w:tblPr>
        <w:tblpPr w:leftFromText="180" w:rightFromText="180" w:vertAnchor="text" w:horzAnchor="page" w:tblpX="2129" w:tblpY="47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770"/>
        <w:gridCol w:w="1260"/>
        <w:gridCol w:w="1170"/>
      </w:tblGrid>
      <w:tr w:rsidR="005764F8" w:rsidRPr="006A257C" w:rsidTr="005764F8">
        <w:trPr>
          <w:trHeight w:val="890"/>
        </w:trPr>
        <w:tc>
          <w:tcPr>
            <w:tcW w:w="745" w:type="dxa"/>
            <w:shd w:val="clear" w:color="auto" w:fill="auto"/>
          </w:tcPr>
          <w:p w:rsidR="005764F8" w:rsidRPr="006A257C" w:rsidRDefault="005764F8" w:rsidP="00576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576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5764F8" w:rsidRPr="006A257C" w:rsidRDefault="005764F8" w:rsidP="00576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Label Claim (mg)</w:t>
            </w:r>
          </w:p>
        </w:tc>
        <w:tc>
          <w:tcPr>
            <w:tcW w:w="1260" w:type="dxa"/>
          </w:tcPr>
          <w:p w:rsidR="005764F8" w:rsidRPr="006A257C" w:rsidRDefault="005764F8" w:rsidP="00576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based on DHA API</w:t>
            </w:r>
          </w:p>
        </w:tc>
        <w:tc>
          <w:tcPr>
            <w:tcW w:w="1170" w:type="dxa"/>
          </w:tcPr>
          <w:p w:rsidR="005764F8" w:rsidRPr="006A257C" w:rsidRDefault="005764F8" w:rsidP="005764F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based on DHA API</w:t>
            </w:r>
          </w:p>
        </w:tc>
      </w:tr>
      <w:tr w:rsidR="005764F8" w:rsidRPr="006A257C" w:rsidTr="008E5383">
        <w:trPr>
          <w:trHeight w:val="67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</w:t>
            </w:r>
          </w:p>
        </w:tc>
      </w:tr>
      <w:tr w:rsidR="005764F8" w:rsidRPr="006A257C" w:rsidTr="008E5383">
        <w:trPr>
          <w:trHeight w:val="163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37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28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5764F8" w:rsidRPr="006A257C" w:rsidTr="008E5383">
        <w:trPr>
          <w:trHeight w:val="110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7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92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5764F8" w:rsidRPr="006A257C" w:rsidTr="008E5383">
        <w:trPr>
          <w:trHeight w:val="173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7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  <w:tr w:rsidR="005764F8" w:rsidRPr="006A257C" w:rsidTr="008E5383">
        <w:trPr>
          <w:trHeight w:val="181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55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81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7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ind w:right="-361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5764F8" w:rsidRPr="006A257C" w:rsidTr="008E5383">
        <w:trPr>
          <w:trHeight w:val="128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72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6A257C" w:rsidTr="008E5383">
        <w:trPr>
          <w:trHeight w:val="182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5764F8" w:rsidRPr="0037228B" w:rsidTr="008E5383">
        <w:trPr>
          <w:trHeight w:val="95"/>
        </w:trPr>
        <w:tc>
          <w:tcPr>
            <w:tcW w:w="745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sz w:val="16"/>
                <w:szCs w:val="16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Z</w:t>
            </w:r>
            <w:r w:rsidRPr="006A257C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/PPQ:</w:t>
            </w: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/320</w:t>
            </w:r>
          </w:p>
        </w:tc>
        <w:tc>
          <w:tcPr>
            <w:tcW w:w="126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764F8" w:rsidRPr="006A257C" w:rsidRDefault="005764F8" w:rsidP="008E53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</w:tbl>
    <w:p w:rsidR="00283527" w:rsidRPr="00620650" w:rsidRDefault="00283527" w:rsidP="008E5383">
      <w:pPr>
        <w:jc w:val="both"/>
        <w:rPr>
          <w:sz w:val="20"/>
          <w:szCs w:val="20"/>
        </w:rPr>
      </w:pPr>
    </w:p>
    <w:p w:rsidR="00283527" w:rsidRDefault="00283527" w:rsidP="008E5383"/>
    <w:p w:rsidR="00283527" w:rsidRDefault="00283527" w:rsidP="008E5383"/>
    <w:p w:rsidR="00283527" w:rsidRDefault="00283527" w:rsidP="008E5383"/>
    <w:p w:rsidR="00DF0CA7" w:rsidRDefault="00DF0CA7" w:rsidP="008E5383"/>
    <w:p w:rsidR="00DF0CA7" w:rsidRDefault="00DF0CA7" w:rsidP="008E5383"/>
    <w:p w:rsidR="00DF0CA7" w:rsidRDefault="00DF0CA7" w:rsidP="008E5383"/>
    <w:p w:rsidR="005764F8" w:rsidRDefault="005764F8" w:rsidP="008E5383">
      <w:pPr>
        <w:spacing w:after="0"/>
      </w:pPr>
    </w:p>
    <w:p w:rsidR="00DF0CA7" w:rsidRPr="005764F8" w:rsidRDefault="000C2EFB" w:rsidP="008E5383">
      <w:pPr>
        <w:spacing w:after="0"/>
        <w:rPr>
          <w:sz w:val="16"/>
          <w:szCs w:val="16"/>
        </w:rPr>
      </w:pPr>
      <w:r w:rsidRPr="005764F8">
        <w:rPr>
          <w:rFonts w:ascii="Times New Roman" w:hAnsi="Times New Roman"/>
          <w:sz w:val="16"/>
          <w:szCs w:val="16"/>
        </w:rPr>
        <w:t>The piperaquine component could not be analysed due to the absence of a reference substance. Thus the quality evaluation was based only on dihydroartemisinin API.</w:t>
      </w:r>
    </w:p>
    <w:p w:rsidR="005764F8" w:rsidRDefault="005764F8" w:rsidP="00620650">
      <w:pPr>
        <w:rPr>
          <w:rFonts w:ascii="Times New Roman" w:hAnsi="Times New Roman"/>
          <w:sz w:val="20"/>
          <w:szCs w:val="20"/>
        </w:rPr>
      </w:pPr>
    </w:p>
    <w:p w:rsidR="00620650" w:rsidRPr="00A074AD" w:rsidRDefault="00620650" w:rsidP="00620650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VIb: Summary of results for </w:t>
      </w:r>
      <w:r w:rsidRPr="003505D3">
        <w:rPr>
          <w:rFonts w:ascii="Times New Roman" w:hAnsi="Times New Roman"/>
          <w:sz w:val="20"/>
          <w:szCs w:val="20"/>
        </w:rPr>
        <w:t xml:space="preserve">antimalarial samples </w:t>
      </w:r>
      <w:r w:rsidRPr="00A074AD">
        <w:rPr>
          <w:rFonts w:ascii="Times New Roman" w:hAnsi="Times New Roman"/>
          <w:sz w:val="20"/>
          <w:szCs w:val="20"/>
        </w:rPr>
        <w:t xml:space="preserve">containing </w:t>
      </w:r>
      <w:r w:rsidRPr="00620650">
        <w:rPr>
          <w:rFonts w:ascii="Times New Roman" w:hAnsi="Times New Roman"/>
          <w:b/>
          <w:sz w:val="20"/>
          <w:szCs w:val="20"/>
        </w:rPr>
        <w:t>Dihydroartemisinin</w:t>
      </w:r>
      <w:r w:rsidRPr="00620650">
        <w:rPr>
          <w:rFonts w:ascii="Times New Roman" w:hAnsi="Times New Roman"/>
          <w:sz w:val="20"/>
          <w:szCs w:val="20"/>
        </w:rPr>
        <w:t xml:space="preserve"> and </w:t>
      </w:r>
      <w:r w:rsidRPr="00620650">
        <w:rPr>
          <w:rFonts w:ascii="Times New Roman" w:hAnsi="Times New Roman"/>
          <w:b/>
          <w:sz w:val="20"/>
          <w:szCs w:val="20"/>
        </w:rPr>
        <w:t>Piperaquine</w:t>
      </w:r>
      <w:r w:rsidRPr="00620650">
        <w:rPr>
          <w:rFonts w:ascii="Times New Roman" w:hAnsi="Times New Roman"/>
          <w:sz w:val="20"/>
          <w:szCs w:val="20"/>
        </w:rPr>
        <w:t xml:space="preserve"> </w:t>
      </w:r>
      <w:r w:rsidRPr="00A074AD">
        <w:rPr>
          <w:rFonts w:ascii="Times New Roman" w:hAnsi="Times New Roman"/>
          <w:sz w:val="20"/>
          <w:szCs w:val="20"/>
        </w:rPr>
        <w:t xml:space="preserve">APIs </w:t>
      </w:r>
      <w:r w:rsidR="00E25B37"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620650" w:rsidRPr="00A074AD" w:rsidTr="00DA38FB">
        <w:tc>
          <w:tcPr>
            <w:tcW w:w="3237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A257C">
              <w:rPr>
                <w:rFonts w:ascii="Times New Roman" w:hAnsi="Times New Roman"/>
                <w:b/>
                <w:sz w:val="16"/>
                <w:szCs w:val="16"/>
              </w:rPr>
              <w:t>DHA</w:t>
            </w:r>
            <w:r w:rsidRPr="006A257C">
              <w:rPr>
                <w:rFonts w:ascii="Times New Roman" w:hAnsi="Times New Roman"/>
                <w:sz w:val="16"/>
                <w:szCs w:val="16"/>
              </w:rPr>
              <w:t>/PPQ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</w:t>
            </w: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 xml:space="preserve"> samples)</w:t>
            </w:r>
          </w:p>
        </w:tc>
        <w:tc>
          <w:tcPr>
            <w:tcW w:w="1438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620650" w:rsidRPr="00A074AD" w:rsidTr="00DA38FB">
        <w:tc>
          <w:tcPr>
            <w:tcW w:w="3237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438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57.14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26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7.14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35.71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  <w:tr w:rsidR="00620650" w:rsidRPr="00A074AD" w:rsidTr="00DA38FB">
        <w:tc>
          <w:tcPr>
            <w:tcW w:w="3237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(28.57%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(14.29</w:t>
            </w:r>
            <w:r w:rsidR="00FE76F6"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(57.14</w:t>
            </w:r>
            <w:r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</w:tbl>
    <w:p w:rsidR="005764F8" w:rsidRPr="00DF00B8" w:rsidRDefault="00D3524A" w:rsidP="005764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764F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.28</w:t>
      </w:r>
      <w:r w:rsidR="005764F8"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9</w:t>
      </w:r>
      <w:r w:rsidR="005764F8"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14</w:t>
      </w:r>
      <w:r w:rsidR="005764F8" w:rsidRPr="00DF00B8">
        <w:rPr>
          <w:rFonts w:ascii="Times New Roman" w:hAnsi="Times New Roman"/>
          <w:sz w:val="20"/>
          <w:szCs w:val="20"/>
        </w:rPr>
        <w:t>) samples gave same results for both assays</w:t>
      </w:r>
    </w:p>
    <w:p w:rsidR="00DF0CA7" w:rsidRDefault="00DF0CA7"/>
    <w:p w:rsidR="002E0729" w:rsidRDefault="002E0729"/>
    <w:p w:rsidR="00D3524A" w:rsidRDefault="00D3524A"/>
    <w:p w:rsidR="00D3524A" w:rsidRDefault="00D3524A"/>
    <w:p w:rsidR="002E0729" w:rsidRDefault="002E0729"/>
    <w:p w:rsidR="00DF0CA7" w:rsidRPr="00620650" w:rsidRDefault="00620650">
      <w:pPr>
        <w:rPr>
          <w:sz w:val="20"/>
          <w:szCs w:val="20"/>
        </w:rPr>
      </w:pPr>
      <w:r w:rsidRPr="00620650">
        <w:rPr>
          <w:rFonts w:ascii="Times New Roman" w:hAnsi="Times New Roman"/>
          <w:sz w:val="20"/>
          <w:szCs w:val="20"/>
        </w:rPr>
        <w:lastRenderedPageBreak/>
        <w:t>Table VIIa</w:t>
      </w:r>
      <w:r w:rsidR="000C2EFB" w:rsidRPr="00620650">
        <w:rPr>
          <w:rFonts w:ascii="Times New Roman" w:hAnsi="Times New Roman"/>
          <w:sz w:val="20"/>
          <w:szCs w:val="20"/>
        </w:rPr>
        <w:t xml:space="preserve">: Quality evaluation of the antimalarial samples containing </w:t>
      </w:r>
      <w:r w:rsidR="000C2EFB" w:rsidRPr="00620650">
        <w:rPr>
          <w:rFonts w:ascii="Times New Roman" w:hAnsi="Times New Roman"/>
          <w:b/>
          <w:sz w:val="20"/>
          <w:szCs w:val="20"/>
        </w:rPr>
        <w:t xml:space="preserve">Quinine </w:t>
      </w:r>
      <w:r w:rsidR="000C2EFB" w:rsidRPr="00620650">
        <w:rPr>
          <w:rFonts w:ascii="Times New Roman" w:hAnsi="Times New Roman"/>
          <w:sz w:val="20"/>
          <w:szCs w:val="20"/>
        </w:rPr>
        <w:t>API</w:t>
      </w:r>
    </w:p>
    <w:tbl>
      <w:tblPr>
        <w:tblpPr w:leftFromText="180" w:rightFromText="180" w:vertAnchor="text" w:horzAnchor="page" w:tblpX="3099" w:tblpY="55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45"/>
        <w:gridCol w:w="1680"/>
        <w:gridCol w:w="1530"/>
        <w:gridCol w:w="1440"/>
      </w:tblGrid>
      <w:tr w:rsidR="00CD02C4" w:rsidRPr="000C2EFB" w:rsidTr="00CD02C4">
        <w:trPr>
          <w:trHeight w:val="530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Manufacturer’s</w:t>
            </w:r>
          </w:p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Label Claim (mg)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Cs/>
                <w:sz w:val="16"/>
                <w:szCs w:val="16"/>
              </w:rPr>
              <w:t>SQ-TLC results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2C4" w:rsidRPr="000C2EFB" w:rsidRDefault="00CD02C4" w:rsidP="002E0729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Cs/>
                <w:sz w:val="16"/>
                <w:szCs w:val="16"/>
              </w:rPr>
              <w:t>HPLC results</w:t>
            </w:r>
          </w:p>
        </w:tc>
      </w:tr>
      <w:tr w:rsidR="00CD02C4" w:rsidRPr="000C2EFB" w:rsidTr="008E5383">
        <w:trPr>
          <w:trHeight w:val="166"/>
        </w:trPr>
        <w:tc>
          <w:tcPr>
            <w:tcW w:w="745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V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CD02C4" w:rsidRPr="000C2EFB" w:rsidTr="008E5383">
        <w:trPr>
          <w:trHeight w:val="163"/>
        </w:trPr>
        <w:tc>
          <w:tcPr>
            <w:tcW w:w="745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V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CD02C4" w:rsidRPr="000C2EFB" w:rsidTr="008E5383">
        <w:trPr>
          <w:trHeight w:val="235"/>
        </w:trPr>
        <w:tc>
          <w:tcPr>
            <w:tcW w:w="745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V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  <w:tr w:rsidR="00CD02C4" w:rsidRPr="000C2EFB" w:rsidTr="008E5383">
        <w:trPr>
          <w:trHeight w:val="262"/>
        </w:trPr>
        <w:tc>
          <w:tcPr>
            <w:tcW w:w="745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4V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68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440" w:type="dxa"/>
            <w:shd w:val="clear" w:color="auto" w:fill="auto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</w:tr>
      <w:tr w:rsidR="00CD02C4" w:rsidRPr="000C2EFB" w:rsidTr="00CD02C4">
        <w:trPr>
          <w:trHeight w:val="262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R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QUN:100mg/5ml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CD02C4" w:rsidRPr="000C2EFB" w:rsidTr="00CD02C4">
        <w:trPr>
          <w:trHeight w:val="253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R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QUN:100mg/5ml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CD02C4" w:rsidRPr="000C2EFB" w:rsidTr="00CD02C4">
        <w:trPr>
          <w:trHeight w:val="262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R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QUN:100mg/5ml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CD02C4" w:rsidRPr="000C2EFB" w:rsidTr="00CD02C4">
        <w:trPr>
          <w:trHeight w:val="181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CD02C4" w:rsidRPr="000C2EFB" w:rsidTr="00CD02C4">
        <w:trPr>
          <w:trHeight w:val="244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CD02C4" w:rsidRPr="000C2EFB" w:rsidTr="00CD02C4">
        <w:trPr>
          <w:trHeight w:val="181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*4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QUN:50mg/5ml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CD02C4" w:rsidRPr="000C2EFB" w:rsidTr="00CD02C4">
        <w:trPr>
          <w:trHeight w:val="244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*3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QUN:150mg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CD02C4" w:rsidRPr="000C2EFB" w:rsidTr="00CD02C4">
        <w:trPr>
          <w:trHeight w:val="172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*3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QUN:150mg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</w:tr>
      <w:tr w:rsidR="00CD02C4" w:rsidRPr="0037228B" w:rsidTr="00CD02C4">
        <w:trPr>
          <w:trHeight w:val="130"/>
        </w:trPr>
        <w:tc>
          <w:tcPr>
            <w:tcW w:w="745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EFB">
              <w:rPr>
                <w:rFonts w:ascii="Times New Roman" w:hAnsi="Times New Roman"/>
                <w:sz w:val="16"/>
                <w:szCs w:val="16"/>
              </w:rPr>
              <w:t>*3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3</w:t>
            </w:r>
            <w:r w:rsidRPr="000C2EFB">
              <w:rPr>
                <w:rFonts w:ascii="Times New Roman" w:hAnsi="Times New Roman"/>
                <w:sz w:val="16"/>
                <w:szCs w:val="16"/>
              </w:rPr>
              <w:t>Q</w:t>
            </w:r>
            <w:r w:rsidRPr="000C2EFB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68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QUN:150mg</w:t>
            </w:r>
          </w:p>
        </w:tc>
        <w:tc>
          <w:tcPr>
            <w:tcW w:w="1530" w:type="dxa"/>
            <w:shd w:val="clear" w:color="auto" w:fill="FFFFFF" w:themeFill="background1"/>
          </w:tcPr>
          <w:p w:rsidR="00CD02C4" w:rsidRPr="000C2EFB" w:rsidRDefault="00CD02C4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CD02C4" w:rsidRPr="00C7640F" w:rsidRDefault="00CD02C4" w:rsidP="002E07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EFB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</w:tbl>
    <w:p w:rsidR="00DF0CA7" w:rsidRDefault="00DF0CA7"/>
    <w:p w:rsidR="006A257C" w:rsidRDefault="006A257C"/>
    <w:p w:rsidR="00CD02C4" w:rsidRDefault="00CD02C4"/>
    <w:p w:rsidR="00CD02C4" w:rsidRPr="00CD02C4" w:rsidRDefault="00CD02C4" w:rsidP="00CD02C4"/>
    <w:p w:rsidR="00CD02C4" w:rsidRPr="00CD02C4" w:rsidRDefault="00CD02C4" w:rsidP="00CD02C4"/>
    <w:p w:rsidR="00CD02C4" w:rsidRPr="00CD02C4" w:rsidRDefault="00CD02C4" w:rsidP="00CD02C4"/>
    <w:p w:rsidR="00CD02C4" w:rsidRDefault="00CD02C4" w:rsidP="00CD02C4"/>
    <w:p w:rsidR="002E0729" w:rsidRDefault="002E0729" w:rsidP="002E0729">
      <w:pPr>
        <w:tabs>
          <w:tab w:val="left" w:pos="1793"/>
        </w:tabs>
        <w:rPr>
          <w:rFonts w:ascii="Times New Roman" w:hAnsi="Times New Roman"/>
          <w:sz w:val="16"/>
          <w:szCs w:val="16"/>
        </w:rPr>
      </w:pPr>
    </w:p>
    <w:p w:rsidR="002E0729" w:rsidRPr="002E0729" w:rsidRDefault="002E0729" w:rsidP="002E0729">
      <w:pPr>
        <w:tabs>
          <w:tab w:val="left" w:pos="1793"/>
        </w:tabs>
        <w:rPr>
          <w:rFonts w:ascii="Times New Roman" w:hAnsi="Times New Roman"/>
          <w:sz w:val="16"/>
          <w:szCs w:val="16"/>
        </w:rPr>
      </w:pPr>
      <w:r w:rsidRPr="002E0729">
        <w:rPr>
          <w:rFonts w:ascii="Times New Roman" w:hAnsi="Times New Roman"/>
          <w:sz w:val="16"/>
          <w:szCs w:val="16"/>
        </w:rPr>
        <w:t>* These samples could not be analysed by TLC for technical reasons</w:t>
      </w:r>
    </w:p>
    <w:p w:rsidR="00620650" w:rsidRDefault="00CD02C4" w:rsidP="00CD02C4">
      <w:pPr>
        <w:tabs>
          <w:tab w:val="left" w:pos="1793"/>
        </w:tabs>
        <w:rPr>
          <w:rFonts w:ascii="Times New Roman" w:hAnsi="Times New Roman"/>
        </w:rPr>
      </w:pPr>
      <w:r>
        <w:tab/>
      </w:r>
    </w:p>
    <w:p w:rsidR="00620650" w:rsidRPr="00A074AD" w:rsidRDefault="00620650" w:rsidP="00620650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VIIb: Summary of results for </w:t>
      </w:r>
      <w:r w:rsidRPr="003505D3">
        <w:rPr>
          <w:rFonts w:ascii="Times New Roman" w:hAnsi="Times New Roman"/>
          <w:sz w:val="20"/>
          <w:szCs w:val="20"/>
        </w:rPr>
        <w:t xml:space="preserve">antimalarial samples </w:t>
      </w:r>
      <w:r w:rsidRPr="00A074AD">
        <w:rPr>
          <w:rFonts w:ascii="Times New Roman" w:hAnsi="Times New Roman"/>
          <w:sz w:val="20"/>
          <w:szCs w:val="20"/>
        </w:rPr>
        <w:t xml:space="preserve">containing </w:t>
      </w:r>
      <w:r w:rsidRPr="006007E7">
        <w:rPr>
          <w:rFonts w:ascii="Times New Roman" w:hAnsi="Times New Roman"/>
          <w:b/>
          <w:sz w:val="20"/>
          <w:szCs w:val="20"/>
        </w:rPr>
        <w:t xml:space="preserve">Quinine </w:t>
      </w:r>
      <w:r w:rsidRPr="00A074AD">
        <w:rPr>
          <w:rFonts w:ascii="Times New Roman" w:hAnsi="Times New Roman"/>
          <w:sz w:val="20"/>
          <w:szCs w:val="20"/>
        </w:rPr>
        <w:t xml:space="preserve">API </w:t>
      </w:r>
      <w:r w:rsidR="00E25B37">
        <w:rPr>
          <w:rFonts w:ascii="Times New Roman" w:hAnsi="Times New Roman"/>
          <w:sz w:val="20"/>
          <w:szCs w:val="20"/>
        </w:rPr>
        <w:t>by TLC and HPLC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438"/>
        <w:gridCol w:w="1260"/>
        <w:gridCol w:w="1350"/>
      </w:tblGrid>
      <w:tr w:rsidR="00620650" w:rsidRPr="00A074AD" w:rsidTr="00DA38FB">
        <w:tc>
          <w:tcPr>
            <w:tcW w:w="3237" w:type="dxa"/>
          </w:tcPr>
          <w:p w:rsidR="00620650" w:rsidRPr="00A074AD" w:rsidRDefault="006007E7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QN</w:t>
            </w:r>
            <w:r w:rsidR="00620650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="00FE76F6">
              <w:rPr>
                <w:rFonts w:ascii="Times New Roman" w:hAnsi="Times New Roman"/>
                <w:b/>
                <w:sz w:val="16"/>
                <w:szCs w:val="16"/>
              </w:rPr>
              <w:t xml:space="preserve">7 out of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620650" w:rsidRPr="00A074AD">
              <w:rPr>
                <w:rFonts w:ascii="Times New Roman" w:hAnsi="Times New Roman"/>
                <w:b/>
                <w:sz w:val="16"/>
                <w:szCs w:val="16"/>
              </w:rPr>
              <w:t xml:space="preserve"> samples)</w:t>
            </w:r>
          </w:p>
        </w:tc>
        <w:tc>
          <w:tcPr>
            <w:tcW w:w="1438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126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BLC</w:t>
            </w:r>
          </w:p>
        </w:tc>
        <w:tc>
          <w:tcPr>
            <w:tcW w:w="1350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NC</w:t>
            </w:r>
          </w:p>
        </w:tc>
      </w:tr>
      <w:tr w:rsidR="00620650" w:rsidRPr="00A074AD" w:rsidTr="00DA38FB">
        <w:tc>
          <w:tcPr>
            <w:tcW w:w="3237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SQ-TLC</w:t>
            </w:r>
          </w:p>
        </w:tc>
        <w:tc>
          <w:tcPr>
            <w:tcW w:w="1438" w:type="dxa"/>
          </w:tcPr>
          <w:p w:rsidR="00620650" w:rsidRPr="00A074AD" w:rsidRDefault="006007E7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28.57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260" w:type="dxa"/>
          </w:tcPr>
          <w:p w:rsidR="00620650" w:rsidRPr="00A074AD" w:rsidRDefault="006007E7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28.57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1350" w:type="dxa"/>
          </w:tcPr>
          <w:p w:rsidR="00620650" w:rsidRPr="00A074AD" w:rsidRDefault="006007E7" w:rsidP="002E0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76F6">
              <w:rPr>
                <w:rFonts w:ascii="Times New Roman" w:hAnsi="Times New Roman"/>
                <w:sz w:val="16"/>
                <w:szCs w:val="16"/>
              </w:rPr>
              <w:t>(42.86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  <w:tr w:rsidR="00620650" w:rsidRPr="00A074AD" w:rsidTr="00DA38FB">
        <w:tc>
          <w:tcPr>
            <w:tcW w:w="3237" w:type="dxa"/>
          </w:tcPr>
          <w:p w:rsidR="00620650" w:rsidRPr="00A074AD" w:rsidRDefault="00620650" w:rsidP="002E07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74AD">
              <w:rPr>
                <w:rFonts w:ascii="Times New Roman" w:hAnsi="Times New Roman"/>
                <w:b/>
                <w:sz w:val="16"/>
                <w:szCs w:val="16"/>
              </w:rPr>
              <w:t>HPLC</w:t>
            </w:r>
          </w:p>
        </w:tc>
        <w:tc>
          <w:tcPr>
            <w:tcW w:w="1438" w:type="dxa"/>
          </w:tcPr>
          <w:p w:rsidR="00620650" w:rsidRPr="00A074AD" w:rsidRDefault="00AA4203" w:rsidP="00AA42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2065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14.28</w:t>
            </w:r>
            <w:r w:rsidR="00620650">
              <w:rPr>
                <w:rFonts w:ascii="Times New Roman" w:hAnsi="Times New Roman"/>
                <w:sz w:val="16"/>
                <w:szCs w:val="16"/>
              </w:rPr>
              <w:t>%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620650" w:rsidRPr="00A074AD" w:rsidRDefault="00620650" w:rsidP="00AA42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A4203">
              <w:rPr>
                <w:rFonts w:ascii="Times New Roman" w:hAnsi="Times New Roman"/>
                <w:sz w:val="16"/>
                <w:szCs w:val="16"/>
              </w:rPr>
              <w:t xml:space="preserve"> (28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AA4203">
              <w:rPr>
                <w:rFonts w:ascii="Times New Roman" w:hAnsi="Times New Roman"/>
                <w:sz w:val="16"/>
                <w:szCs w:val="16"/>
              </w:rPr>
              <w:t>57</w:t>
            </w:r>
            <w:r w:rsidR="00FE76F6">
              <w:rPr>
                <w:rFonts w:ascii="Times New Roman" w:hAnsi="Times New Roman"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620650" w:rsidRPr="00A074AD" w:rsidRDefault="00AA4203" w:rsidP="00AA42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6007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065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57.14</w:t>
            </w:r>
            <w:r w:rsidR="00620650" w:rsidRPr="00A074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</w:tr>
    </w:tbl>
    <w:p w:rsidR="00D3524A" w:rsidRPr="00DF00B8" w:rsidRDefault="00D3524A" w:rsidP="00D3524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71.43</w:t>
      </w:r>
      <w:r w:rsidRPr="00DF00B8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5</w:t>
      </w:r>
      <w:r w:rsidRPr="00DF00B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7</w:t>
      </w:r>
      <w:r w:rsidRPr="00DF00B8">
        <w:rPr>
          <w:rFonts w:ascii="Times New Roman" w:hAnsi="Times New Roman"/>
          <w:sz w:val="20"/>
          <w:szCs w:val="20"/>
        </w:rPr>
        <w:t>) samples gave same results for both assays</w:t>
      </w:r>
    </w:p>
    <w:p w:rsidR="00620650" w:rsidRPr="00CD02C4" w:rsidRDefault="00620650" w:rsidP="00CD02C4">
      <w:pPr>
        <w:tabs>
          <w:tab w:val="left" w:pos="1793"/>
        </w:tabs>
        <w:rPr>
          <w:rFonts w:ascii="Times New Roman" w:hAnsi="Times New Roman"/>
        </w:rPr>
      </w:pPr>
    </w:p>
    <w:sectPr w:rsidR="00620650" w:rsidRPr="00CD02C4" w:rsidSect="00F528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C3" w:rsidRDefault="00CB3CC3" w:rsidP="000364C6">
      <w:pPr>
        <w:spacing w:after="0" w:line="240" w:lineRule="auto"/>
      </w:pPr>
      <w:r>
        <w:separator/>
      </w:r>
    </w:p>
  </w:endnote>
  <w:endnote w:type="continuationSeparator" w:id="0">
    <w:p w:rsidR="00CB3CC3" w:rsidRDefault="00CB3CC3" w:rsidP="000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C3" w:rsidRDefault="00CB3CC3" w:rsidP="000364C6">
      <w:pPr>
        <w:spacing w:after="0" w:line="240" w:lineRule="auto"/>
      </w:pPr>
      <w:r>
        <w:separator/>
      </w:r>
    </w:p>
  </w:footnote>
  <w:footnote w:type="continuationSeparator" w:id="0">
    <w:p w:rsidR="00CB3CC3" w:rsidRDefault="00CB3CC3" w:rsidP="0003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D"/>
    <w:rsid w:val="000364C6"/>
    <w:rsid w:val="000B1227"/>
    <w:rsid w:val="000C2EFB"/>
    <w:rsid w:val="000D6D62"/>
    <w:rsid w:val="001158D2"/>
    <w:rsid w:val="00170EB2"/>
    <w:rsid w:val="00216CAD"/>
    <w:rsid w:val="0024108B"/>
    <w:rsid w:val="00283527"/>
    <w:rsid w:val="0029444E"/>
    <w:rsid w:val="002E0729"/>
    <w:rsid w:val="00345ACF"/>
    <w:rsid w:val="003505D3"/>
    <w:rsid w:val="00355E26"/>
    <w:rsid w:val="0037228B"/>
    <w:rsid w:val="003935E9"/>
    <w:rsid w:val="003E616B"/>
    <w:rsid w:val="00420CF3"/>
    <w:rsid w:val="004B1226"/>
    <w:rsid w:val="004B5319"/>
    <w:rsid w:val="005420CF"/>
    <w:rsid w:val="005764F8"/>
    <w:rsid w:val="005844E0"/>
    <w:rsid w:val="0059054B"/>
    <w:rsid w:val="005F69E7"/>
    <w:rsid w:val="006007E7"/>
    <w:rsid w:val="00620650"/>
    <w:rsid w:val="00641CA2"/>
    <w:rsid w:val="006A257C"/>
    <w:rsid w:val="006B1B1C"/>
    <w:rsid w:val="00714945"/>
    <w:rsid w:val="0075384D"/>
    <w:rsid w:val="00781210"/>
    <w:rsid w:val="007C46DC"/>
    <w:rsid w:val="007C6FDF"/>
    <w:rsid w:val="007F1C07"/>
    <w:rsid w:val="0084394D"/>
    <w:rsid w:val="00872470"/>
    <w:rsid w:val="008751E6"/>
    <w:rsid w:val="008E2001"/>
    <w:rsid w:val="008E5383"/>
    <w:rsid w:val="00914DEF"/>
    <w:rsid w:val="009B7EEA"/>
    <w:rsid w:val="00A074AD"/>
    <w:rsid w:val="00AA4203"/>
    <w:rsid w:val="00AB0151"/>
    <w:rsid w:val="00AD7EED"/>
    <w:rsid w:val="00B70F23"/>
    <w:rsid w:val="00BD418D"/>
    <w:rsid w:val="00C63A85"/>
    <w:rsid w:val="00C84B82"/>
    <w:rsid w:val="00C87811"/>
    <w:rsid w:val="00CB3CC3"/>
    <w:rsid w:val="00CD02C4"/>
    <w:rsid w:val="00CF3241"/>
    <w:rsid w:val="00D3524A"/>
    <w:rsid w:val="00D505E8"/>
    <w:rsid w:val="00D643FD"/>
    <w:rsid w:val="00D6697D"/>
    <w:rsid w:val="00DA38FB"/>
    <w:rsid w:val="00DF00B8"/>
    <w:rsid w:val="00DF0CA7"/>
    <w:rsid w:val="00DF4E22"/>
    <w:rsid w:val="00E25B37"/>
    <w:rsid w:val="00E25DBC"/>
    <w:rsid w:val="00EC6544"/>
    <w:rsid w:val="00ED1BC1"/>
    <w:rsid w:val="00F5283D"/>
    <w:rsid w:val="00F87952"/>
    <w:rsid w:val="00FA0B64"/>
    <w:rsid w:val="00FB6D59"/>
    <w:rsid w:val="00FB79BE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957F-2527-489D-8C50-FD40A4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3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83D"/>
    <w:pPr>
      <w:spacing w:before="100" w:beforeAutospacing="1" w:after="100" w:afterAutospacing="1" w:line="336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Default">
    <w:name w:val="Default"/>
    <w:rsid w:val="00F52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5283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643F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D643FD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3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C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C6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E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F7E2B-9D6B-45BD-A758-D45BF1A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Osei-Sarfo</dc:creator>
  <cp:keywords/>
  <dc:description/>
  <cp:lastModifiedBy>Dorcas Osei-Safo</cp:lastModifiedBy>
  <cp:revision>5</cp:revision>
  <dcterms:created xsi:type="dcterms:W3CDTF">2017-03-03T23:58:00Z</dcterms:created>
  <dcterms:modified xsi:type="dcterms:W3CDTF">2018-01-16T12:26:00Z</dcterms:modified>
</cp:coreProperties>
</file>