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AF" w:rsidRPr="00623716" w:rsidRDefault="00BD03AF" w:rsidP="00BD03AF">
      <w:pPr>
        <w:pStyle w:val="berschrift2"/>
      </w:pPr>
      <w:r w:rsidRPr="00623716">
        <w:t>Supplementary Materials</w:t>
      </w:r>
    </w:p>
    <w:p w:rsidR="00BD03AF" w:rsidRDefault="00BD03AF" w:rsidP="00BD03AF">
      <w:pPr>
        <w:rPr>
          <w:lang w:val="en-US"/>
        </w:rPr>
      </w:pPr>
      <w:r w:rsidRPr="00970D7A">
        <w:rPr>
          <w:lang w:val="en-US"/>
        </w:rPr>
        <w:t>Linear modeling (forward stepwise) for assessing the influence of the predictors on the Purchase Decision (AICC: -1,508.295, R²= 0.724).</w:t>
      </w:r>
    </w:p>
    <w:p w:rsidR="00BD03AF" w:rsidRPr="00970D7A" w:rsidRDefault="00BD03AF" w:rsidP="00BD03AF">
      <w:pPr>
        <w:rPr>
          <w:lang w:val="en-US"/>
        </w:rPr>
      </w:pPr>
    </w:p>
    <w:p w:rsidR="00BD03AF" w:rsidRPr="00033560" w:rsidRDefault="00BD03AF" w:rsidP="00BD03AF">
      <w:pPr>
        <w:pStyle w:val="Beschriftung"/>
        <w:keepNext/>
        <w:rPr>
          <w:color w:val="auto"/>
          <w:sz w:val="22"/>
          <w:szCs w:val="22"/>
          <w:lang w:val="en-US"/>
        </w:rPr>
      </w:pPr>
      <w:bookmarkStart w:id="0" w:name="_Ref489271134"/>
      <w:bookmarkStart w:id="1" w:name="_Ref489271131"/>
      <w:r w:rsidRPr="00033560">
        <w:rPr>
          <w:color w:val="auto"/>
          <w:sz w:val="22"/>
          <w:szCs w:val="22"/>
          <w:lang w:val="en-US"/>
        </w:rPr>
        <w:t xml:space="preserve">Table </w:t>
      </w:r>
      <w:bookmarkEnd w:id="0"/>
      <w:r>
        <w:rPr>
          <w:color w:val="auto"/>
          <w:sz w:val="22"/>
          <w:szCs w:val="22"/>
          <w:lang w:val="en-US"/>
        </w:rPr>
        <w:t>4</w:t>
      </w:r>
      <w:r w:rsidRPr="00033560">
        <w:rPr>
          <w:color w:val="auto"/>
          <w:sz w:val="22"/>
          <w:szCs w:val="22"/>
          <w:lang w:val="en-US"/>
        </w:rPr>
        <w:t xml:space="preserve"> Model summary effects – target variable: purchase decision</w:t>
      </w:r>
      <w:bookmarkEnd w:id="1"/>
    </w:p>
    <w:tbl>
      <w:tblPr>
        <w:tblStyle w:val="HelleSchattierung-Akzent11"/>
        <w:tblW w:w="0" w:type="auto"/>
        <w:tblLook w:val="04A0" w:firstRow="1" w:lastRow="0" w:firstColumn="1" w:lastColumn="0" w:noHBand="0" w:noVBand="1"/>
      </w:tblPr>
      <w:tblGrid>
        <w:gridCol w:w="1497"/>
        <w:gridCol w:w="1288"/>
        <w:gridCol w:w="723"/>
        <w:gridCol w:w="1380"/>
        <w:gridCol w:w="981"/>
        <w:gridCol w:w="1536"/>
        <w:gridCol w:w="1831"/>
      </w:tblGrid>
      <w:tr w:rsidR="00BD03AF" w:rsidRPr="00970D7A" w:rsidTr="00197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Source</w:t>
            </w:r>
          </w:p>
        </w:tc>
        <w:tc>
          <w:tcPr>
            <w:tcW w:w="1316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033560">
              <w:rPr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Significance</w:t>
            </w:r>
          </w:p>
        </w:tc>
        <w:tc>
          <w:tcPr>
            <w:tcW w:w="1874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Importance</w:t>
            </w:r>
          </w:p>
        </w:tc>
      </w:tr>
      <w:tr w:rsidR="00BD03AF" w:rsidRPr="00970D7A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Corrected Model</w:t>
            </w:r>
          </w:p>
        </w:tc>
        <w:tc>
          <w:tcPr>
            <w:tcW w:w="131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29.187</w:t>
            </w:r>
          </w:p>
        </w:tc>
        <w:tc>
          <w:tcPr>
            <w:tcW w:w="73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4.170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156.957</w:t>
            </w:r>
          </w:p>
        </w:tc>
        <w:tc>
          <w:tcPr>
            <w:tcW w:w="156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.000</w:t>
            </w:r>
          </w:p>
        </w:tc>
        <w:tc>
          <w:tcPr>
            <w:tcW w:w="187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BD03AF" w:rsidRPr="00970D7A" w:rsidTr="00197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Color (sensory)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12.340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12.340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464.509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.000</w:t>
            </w: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0.720</w:t>
            </w:r>
          </w:p>
        </w:tc>
      </w:tr>
      <w:tr w:rsidR="00BD03AF" w:rsidRPr="00970D7A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White Striping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2.410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2.410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90.722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.000</w:t>
            </w: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0.141</w:t>
            </w:r>
          </w:p>
        </w:tc>
      </w:tr>
      <w:tr w:rsidR="00BD03AF" w:rsidRPr="00970D7A" w:rsidTr="00197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Mean Demerits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1.477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1.477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55.617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.000</w:t>
            </w: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0.086</w:t>
            </w:r>
          </w:p>
        </w:tc>
      </w:tr>
      <w:tr w:rsidR="00BD03AF" w:rsidRPr="00970D7A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L*value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0.587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0.587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22.096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.000</w:t>
            </w: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0.034</w:t>
            </w:r>
          </w:p>
        </w:tc>
      </w:tr>
      <w:tr w:rsidR="00BD03AF" w:rsidRPr="00970D7A" w:rsidTr="00197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Methionine supplementation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0.212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0.106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3.995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.019</w:t>
            </w: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0.012</w:t>
            </w:r>
          </w:p>
        </w:tc>
      </w:tr>
      <w:tr w:rsidR="00BD03AF" w:rsidRPr="00970D7A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Initial Weight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0.119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0.119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4.479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.035</w:t>
            </w: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0.007</w:t>
            </w:r>
          </w:p>
        </w:tc>
      </w:tr>
      <w:tr w:rsidR="00BD03AF" w:rsidRPr="00970D7A" w:rsidTr="00197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10.892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BD03AF" w:rsidRPr="00970D7A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Corrected Total</w:t>
            </w:r>
          </w:p>
        </w:tc>
        <w:tc>
          <w:tcPr>
            <w:tcW w:w="131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40.079</w:t>
            </w:r>
          </w:p>
        </w:tc>
        <w:tc>
          <w:tcPr>
            <w:tcW w:w="7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:rsidR="00BD03AF" w:rsidRPr="00970D7A" w:rsidRDefault="00BD03AF" w:rsidP="00BD03AF">
      <w:pPr>
        <w:rPr>
          <w:lang w:val="en-US"/>
        </w:rPr>
      </w:pPr>
    </w:p>
    <w:p w:rsidR="00BD03AF" w:rsidRPr="00033560" w:rsidRDefault="00BD03AF" w:rsidP="00BD03AF">
      <w:pPr>
        <w:pStyle w:val="Beschriftung"/>
        <w:keepNext/>
        <w:rPr>
          <w:color w:val="auto"/>
          <w:sz w:val="22"/>
          <w:szCs w:val="22"/>
          <w:lang w:val="en-US"/>
        </w:rPr>
      </w:pPr>
      <w:bookmarkStart w:id="2" w:name="_Ref489271137"/>
      <w:r w:rsidRPr="00033560">
        <w:rPr>
          <w:color w:val="auto"/>
          <w:sz w:val="22"/>
          <w:szCs w:val="22"/>
          <w:lang w:val="en-US"/>
        </w:rPr>
        <w:t xml:space="preserve">Table </w:t>
      </w:r>
      <w:bookmarkEnd w:id="2"/>
      <w:r w:rsidRPr="00033560">
        <w:rPr>
          <w:color w:val="auto"/>
          <w:sz w:val="22"/>
          <w:szCs w:val="22"/>
          <w:lang w:val="en-US"/>
        </w:rPr>
        <w:t>5 Model summary coefficients – target variable: purchase decision</w:t>
      </w:r>
    </w:p>
    <w:tbl>
      <w:tblPr>
        <w:tblStyle w:val="HelleSchattierung-Akzent11"/>
        <w:tblW w:w="0" w:type="auto"/>
        <w:tblLook w:val="04A0" w:firstRow="1" w:lastRow="0" w:firstColumn="1" w:lastColumn="0" w:noHBand="0" w:noVBand="1"/>
      </w:tblPr>
      <w:tblGrid>
        <w:gridCol w:w="1745"/>
        <w:gridCol w:w="1251"/>
        <w:gridCol w:w="706"/>
        <w:gridCol w:w="1512"/>
        <w:gridCol w:w="1770"/>
      </w:tblGrid>
      <w:tr w:rsidR="00BD03AF" w:rsidRPr="00033560" w:rsidTr="00197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Source</w:t>
            </w:r>
          </w:p>
        </w:tc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12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Significance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</w:tcBorders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Importance</w:t>
            </w:r>
          </w:p>
        </w:tc>
      </w:tr>
      <w:tr w:rsidR="00BD03AF" w:rsidRPr="00033560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25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-2.331</w:t>
            </w:r>
          </w:p>
        </w:tc>
        <w:tc>
          <w:tcPr>
            <w:tcW w:w="70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0.294</w:t>
            </w:r>
          </w:p>
        </w:tc>
        <w:tc>
          <w:tcPr>
            <w:tcW w:w="151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.000</w:t>
            </w:r>
          </w:p>
        </w:tc>
        <w:tc>
          <w:tcPr>
            <w:tcW w:w="177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BD03AF" w:rsidRPr="00033560" w:rsidTr="00197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Color (sensory)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0.734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0.034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.000</w:t>
            </w: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0.720</w:t>
            </w:r>
          </w:p>
        </w:tc>
      </w:tr>
      <w:tr w:rsidR="00BD03AF" w:rsidRPr="00033560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White Striping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-0.160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0.017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.000</w:t>
            </w: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0.141</w:t>
            </w:r>
          </w:p>
        </w:tc>
      </w:tr>
      <w:tr w:rsidR="00BD03AF" w:rsidRPr="00033560" w:rsidTr="00197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Mean Demerits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-0.416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0.056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.000</w:t>
            </w: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0.086</w:t>
            </w:r>
          </w:p>
        </w:tc>
      </w:tr>
      <w:tr w:rsidR="00BD03AF" w:rsidRPr="00033560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L*value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0.021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0.004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.000</w:t>
            </w: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0.034</w:t>
            </w:r>
          </w:p>
        </w:tc>
      </w:tr>
      <w:tr w:rsidR="00BD03AF" w:rsidRPr="00033560" w:rsidTr="00197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Methionine</w:t>
            </w:r>
          </w:p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 xml:space="preserve"> = Basal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0.018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0.030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.547</w:t>
            </w: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0.012</w:t>
            </w:r>
          </w:p>
        </w:tc>
      </w:tr>
      <w:tr w:rsidR="00BD03AF" w:rsidRPr="00033560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Methionine</w:t>
            </w:r>
          </w:p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= DLHMTBA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0.049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0.017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0.006</w:t>
            </w: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BD03AF" w:rsidRPr="00033560" w:rsidTr="00197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Methionine</w:t>
            </w:r>
          </w:p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= DLM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</w:t>
            </w:r>
            <w:r w:rsidRPr="00033560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BD03AF" w:rsidRPr="00033560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Initial Weight</w:t>
            </w:r>
          </w:p>
        </w:tc>
        <w:tc>
          <w:tcPr>
            <w:tcW w:w="125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0.000</w:t>
            </w:r>
          </w:p>
        </w:tc>
        <w:tc>
          <w:tcPr>
            <w:tcW w:w="70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0.000</w:t>
            </w:r>
          </w:p>
        </w:tc>
        <w:tc>
          <w:tcPr>
            <w:tcW w:w="151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.035</w:t>
            </w:r>
          </w:p>
        </w:tc>
        <w:tc>
          <w:tcPr>
            <w:tcW w:w="17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0.007</w:t>
            </w:r>
          </w:p>
        </w:tc>
      </w:tr>
    </w:tbl>
    <w:p w:rsidR="00BD03AF" w:rsidRPr="00033560" w:rsidRDefault="00BD03AF" w:rsidP="00BD03AF">
      <w:pPr>
        <w:rPr>
          <w:sz w:val="18"/>
          <w:szCs w:val="18"/>
          <w:lang w:val="en-US"/>
        </w:rPr>
      </w:pPr>
      <w:proofErr w:type="spellStart"/>
      <w:proofErr w:type="gramStart"/>
      <w:r w:rsidRPr="00033560">
        <w:rPr>
          <w:sz w:val="18"/>
          <w:szCs w:val="18"/>
          <w:vertAlign w:val="superscript"/>
          <w:lang w:val="en-US"/>
        </w:rPr>
        <w:t>a</w:t>
      </w:r>
      <w:proofErr w:type="spellEnd"/>
      <w:proofErr w:type="gramEnd"/>
      <w:r w:rsidRPr="00033560">
        <w:rPr>
          <w:sz w:val="18"/>
          <w:szCs w:val="18"/>
          <w:lang w:val="en-US"/>
        </w:rPr>
        <w:t xml:space="preserve"> This coefficient was set to zero because it is redundant</w:t>
      </w:r>
    </w:p>
    <w:p w:rsidR="00BD03AF" w:rsidRPr="00970D7A" w:rsidRDefault="00BD03AF" w:rsidP="00BD03AF">
      <w:pPr>
        <w:rPr>
          <w:lang w:val="en-US"/>
        </w:rPr>
      </w:pPr>
    </w:p>
    <w:p w:rsidR="00BD03AF" w:rsidRPr="00033560" w:rsidRDefault="00BD03AF" w:rsidP="00BD03AF">
      <w:pPr>
        <w:pStyle w:val="Beschriftung"/>
        <w:keepNext/>
        <w:rPr>
          <w:color w:val="auto"/>
          <w:sz w:val="22"/>
          <w:szCs w:val="22"/>
          <w:lang w:val="en-US"/>
        </w:rPr>
      </w:pPr>
      <w:r w:rsidRPr="00033560">
        <w:rPr>
          <w:color w:val="auto"/>
          <w:sz w:val="22"/>
          <w:szCs w:val="22"/>
          <w:lang w:val="en-US"/>
        </w:rPr>
        <w:t>Table 6 Meat quality parameters at the end of shelf life</w:t>
      </w:r>
    </w:p>
    <w:tbl>
      <w:tblPr>
        <w:tblStyle w:val="HelleSchattierung-Akzent11"/>
        <w:tblW w:w="8765" w:type="dxa"/>
        <w:tblLayout w:type="fixed"/>
        <w:tblLook w:val="04A0" w:firstRow="1" w:lastRow="0" w:firstColumn="1" w:lastColumn="0" w:noHBand="0" w:noVBand="1"/>
      </w:tblPr>
      <w:tblGrid>
        <w:gridCol w:w="1080"/>
        <w:gridCol w:w="9"/>
        <w:gridCol w:w="6"/>
        <w:gridCol w:w="1065"/>
        <w:gridCol w:w="19"/>
        <w:gridCol w:w="12"/>
        <w:gridCol w:w="1049"/>
        <w:gridCol w:w="29"/>
        <w:gridCol w:w="17"/>
        <w:gridCol w:w="1034"/>
        <w:gridCol w:w="39"/>
        <w:gridCol w:w="23"/>
        <w:gridCol w:w="1018"/>
        <w:gridCol w:w="49"/>
        <w:gridCol w:w="29"/>
        <w:gridCol w:w="1003"/>
        <w:gridCol w:w="58"/>
        <w:gridCol w:w="34"/>
        <w:gridCol w:w="989"/>
        <w:gridCol w:w="67"/>
        <w:gridCol w:w="40"/>
        <w:gridCol w:w="974"/>
        <w:gridCol w:w="76"/>
        <w:gridCol w:w="46"/>
      </w:tblGrid>
      <w:tr w:rsidR="00BD03AF" w:rsidRPr="00033560" w:rsidTr="00197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rPr>
                <w:color w:val="auto"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Basal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DLM 0.04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DLM 0.12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DLM 0.32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DL-HMTBA 0.04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DL-HMTBA 0.12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DL-HMTBA 0.32</w:t>
            </w:r>
          </w:p>
        </w:tc>
      </w:tr>
      <w:tr w:rsidR="00BD03AF" w:rsidRPr="00033560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pH</w:t>
            </w:r>
            <w:r w:rsidRPr="00033560">
              <w:rPr>
                <w:sz w:val="18"/>
                <w:szCs w:val="18"/>
                <w:vertAlign w:val="subscript"/>
                <w:lang w:val="en-US"/>
              </w:rPr>
              <w:t>192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6.11</w:t>
            </w:r>
          </w:p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±0.19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6.36</w:t>
            </w:r>
          </w:p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±0.29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6.25</w:t>
            </w:r>
          </w:p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±0.24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6.24</w:t>
            </w:r>
          </w:p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±0.20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6.12</w:t>
            </w:r>
          </w:p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±0.19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6.27</w:t>
            </w:r>
          </w:p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±0.21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6.29</w:t>
            </w:r>
          </w:p>
          <w:p w:rsidR="00BD03AF" w:rsidRPr="00033560" w:rsidRDefault="00BD03AF" w:rsidP="00197AD5">
            <w:pPr>
              <w:keepLine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±0.24</w:t>
            </w:r>
          </w:p>
        </w:tc>
      </w:tr>
      <w:tr w:rsidR="00BD03AF" w:rsidRPr="00033560" w:rsidTr="00197A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gridSpan w:val="3"/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DL</w:t>
            </w:r>
            <w:r w:rsidRPr="00033560">
              <w:rPr>
                <w:sz w:val="18"/>
                <w:szCs w:val="18"/>
                <w:vertAlign w:val="subscript"/>
                <w:lang w:val="en-US"/>
              </w:rPr>
              <w:t>192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0.251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±0.22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0.299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±0.18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0.234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±0.14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0.232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±0.15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BD03AF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0.244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±0.17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0.232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±0.19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33560">
              <w:rPr>
                <w:sz w:val="18"/>
                <w:szCs w:val="18"/>
              </w:rPr>
              <w:t>0.257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</w:rPr>
              <w:t>±0.25</w:t>
            </w:r>
          </w:p>
        </w:tc>
      </w:tr>
      <w:tr w:rsidR="00BD03AF" w:rsidRPr="00033560" w:rsidTr="0019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gridSpan w:val="3"/>
            <w:shd w:val="clear" w:color="auto" w:fill="auto"/>
          </w:tcPr>
          <w:p w:rsidR="00BD03AF" w:rsidRPr="00033560" w:rsidRDefault="00BD03AF" w:rsidP="00197AD5">
            <w:pPr>
              <w:rPr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  <w:lang w:val="en-US"/>
              </w:rPr>
              <w:t>L*</w:t>
            </w:r>
            <w:r w:rsidRPr="00033560">
              <w:rPr>
                <w:color w:val="000000"/>
                <w:sz w:val="18"/>
                <w:szCs w:val="18"/>
                <w:vertAlign w:val="subscript"/>
                <w:lang w:val="en-US"/>
              </w:rPr>
              <w:t>216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54.10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±3.06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56.03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±2.98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55.16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±3.19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53.5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±3.08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55.43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±2.78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55.99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±2.66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54.35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±3.37</w:t>
            </w:r>
          </w:p>
        </w:tc>
      </w:tr>
      <w:tr w:rsidR="00BD03AF" w:rsidRPr="00033560" w:rsidTr="00197AD5">
        <w:trPr>
          <w:gridAfter w:val="2"/>
          <w:wAfter w:w="1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BD03AF" w:rsidRPr="00033560" w:rsidRDefault="00BD03AF" w:rsidP="00197AD5">
            <w:pPr>
              <w:rPr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  <w:lang w:val="en-US"/>
              </w:rPr>
              <w:t>a*</w:t>
            </w:r>
            <w:r w:rsidRPr="00033560">
              <w:rPr>
                <w:color w:val="000000"/>
                <w:sz w:val="18"/>
                <w:szCs w:val="18"/>
                <w:vertAlign w:val="subscript"/>
                <w:lang w:val="en-US"/>
              </w:rPr>
              <w:t>216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6.82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±0.89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6.75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±1.22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6.83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±0.9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6.57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±1.06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6.63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±0.87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6.53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±0.98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6.38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±1.09</w:t>
            </w:r>
          </w:p>
        </w:tc>
      </w:tr>
      <w:tr w:rsidR="00BD03AF" w:rsidRPr="00033560" w:rsidTr="00197A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gridSpan w:val="2"/>
            <w:shd w:val="clear" w:color="auto" w:fill="auto"/>
          </w:tcPr>
          <w:p w:rsidR="00BD03AF" w:rsidRPr="00033560" w:rsidRDefault="00BD03AF" w:rsidP="00197AD5">
            <w:pPr>
              <w:rPr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  <w:lang w:val="en-US"/>
              </w:rPr>
              <w:t>b*</w:t>
            </w:r>
            <w:r w:rsidRPr="00033560">
              <w:rPr>
                <w:color w:val="000000"/>
                <w:sz w:val="18"/>
                <w:szCs w:val="18"/>
                <w:vertAlign w:val="subscript"/>
                <w:lang w:val="en-US"/>
              </w:rPr>
              <w:t>216</w:t>
            </w:r>
          </w:p>
        </w:tc>
        <w:tc>
          <w:tcPr>
            <w:tcW w:w="1090" w:type="dxa"/>
            <w:gridSpan w:val="3"/>
            <w:shd w:val="clear" w:color="auto" w:fill="auto"/>
            <w:noWrap/>
            <w:hideMark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15.82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±2.2</w:t>
            </w:r>
          </w:p>
        </w:tc>
        <w:tc>
          <w:tcPr>
            <w:tcW w:w="1090" w:type="dxa"/>
            <w:gridSpan w:val="3"/>
            <w:shd w:val="clear" w:color="auto" w:fill="auto"/>
            <w:noWrap/>
            <w:hideMark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17.14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±2.13</w:t>
            </w:r>
          </w:p>
        </w:tc>
        <w:tc>
          <w:tcPr>
            <w:tcW w:w="1090" w:type="dxa"/>
            <w:gridSpan w:val="3"/>
            <w:shd w:val="clear" w:color="auto" w:fill="auto"/>
            <w:noWrap/>
            <w:hideMark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16.47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±2.01</w:t>
            </w:r>
          </w:p>
        </w:tc>
        <w:tc>
          <w:tcPr>
            <w:tcW w:w="1090" w:type="dxa"/>
            <w:gridSpan w:val="3"/>
            <w:shd w:val="clear" w:color="auto" w:fill="auto"/>
            <w:noWrap/>
            <w:hideMark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15.63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±1.79</w:t>
            </w:r>
          </w:p>
        </w:tc>
        <w:tc>
          <w:tcPr>
            <w:tcW w:w="1090" w:type="dxa"/>
            <w:gridSpan w:val="3"/>
            <w:shd w:val="clear" w:color="auto" w:fill="auto"/>
            <w:noWrap/>
            <w:hideMark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16.67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±2.06</w:t>
            </w:r>
          </w:p>
        </w:tc>
        <w:tc>
          <w:tcPr>
            <w:tcW w:w="1090" w:type="dxa"/>
            <w:gridSpan w:val="3"/>
            <w:shd w:val="clear" w:color="auto" w:fill="auto"/>
            <w:noWrap/>
            <w:hideMark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16.86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±2.55</w:t>
            </w:r>
          </w:p>
        </w:tc>
        <w:tc>
          <w:tcPr>
            <w:tcW w:w="1090" w:type="dxa"/>
            <w:gridSpan w:val="3"/>
            <w:shd w:val="clear" w:color="auto" w:fill="auto"/>
            <w:noWrap/>
            <w:hideMark/>
          </w:tcPr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33560">
              <w:rPr>
                <w:color w:val="000000"/>
                <w:sz w:val="18"/>
                <w:szCs w:val="18"/>
              </w:rPr>
              <w:t>15.8</w:t>
            </w:r>
          </w:p>
          <w:p w:rsidR="00BD03AF" w:rsidRPr="00033560" w:rsidRDefault="00BD03AF" w:rsidP="0019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±1.76</w:t>
            </w:r>
          </w:p>
        </w:tc>
      </w:tr>
      <w:tr w:rsidR="00BD03AF" w:rsidRPr="00033560" w:rsidTr="00197AD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rPr>
                <w:sz w:val="18"/>
                <w:szCs w:val="18"/>
                <w:lang w:val="en-US"/>
              </w:rPr>
            </w:pPr>
            <w:r w:rsidRPr="00033560">
              <w:rPr>
                <w:sz w:val="18"/>
                <w:szCs w:val="18"/>
                <w:lang w:val="en-US"/>
              </w:rPr>
              <w:t>SI</w:t>
            </w:r>
            <w:r w:rsidRPr="00033560">
              <w:rPr>
                <w:sz w:val="18"/>
                <w:szCs w:val="18"/>
                <w:vertAlign w:val="subscript"/>
                <w:lang w:val="en-US"/>
              </w:rPr>
              <w:t>192</w:t>
            </w:r>
          </w:p>
        </w:tc>
        <w:tc>
          <w:tcPr>
            <w:tcW w:w="1096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  <w:lang w:val="en-US"/>
              </w:rPr>
              <w:t>1.44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±0.20</w:t>
            </w:r>
          </w:p>
        </w:tc>
        <w:tc>
          <w:tcPr>
            <w:tcW w:w="1095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  <w:lang w:val="en-US"/>
              </w:rPr>
              <w:t>1.29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±0.19</w:t>
            </w:r>
          </w:p>
        </w:tc>
        <w:tc>
          <w:tcPr>
            <w:tcW w:w="1096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  <w:lang w:val="en-US"/>
              </w:rPr>
              <w:t>1.47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±0.14</w:t>
            </w:r>
          </w:p>
        </w:tc>
        <w:tc>
          <w:tcPr>
            <w:tcW w:w="1096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  <w:lang w:val="en-US"/>
              </w:rPr>
              <w:t>1.50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±0.18</w:t>
            </w:r>
          </w:p>
        </w:tc>
        <w:tc>
          <w:tcPr>
            <w:tcW w:w="1095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  <w:lang w:val="en-US"/>
              </w:rPr>
              <w:t>1.50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±0.12</w:t>
            </w:r>
          </w:p>
        </w:tc>
        <w:tc>
          <w:tcPr>
            <w:tcW w:w="1096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  <w:lang w:val="en-US"/>
              </w:rPr>
              <w:t>1.49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±0.19</w:t>
            </w:r>
          </w:p>
        </w:tc>
        <w:tc>
          <w:tcPr>
            <w:tcW w:w="1096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  <w:lang w:val="en-US"/>
              </w:rPr>
              <w:t>1.46</w:t>
            </w:r>
          </w:p>
          <w:p w:rsidR="00BD03AF" w:rsidRPr="00033560" w:rsidRDefault="00BD03AF" w:rsidP="0019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033560">
              <w:rPr>
                <w:color w:val="000000"/>
                <w:sz w:val="18"/>
                <w:szCs w:val="18"/>
              </w:rPr>
              <w:t>±0.20</w:t>
            </w:r>
          </w:p>
        </w:tc>
      </w:tr>
    </w:tbl>
    <w:p w:rsidR="00BD03AF" w:rsidRPr="00623716" w:rsidRDefault="00BD03AF" w:rsidP="00BD03AF">
      <w:pPr>
        <w:pStyle w:val="CitaviBibliographyEntry"/>
        <w:rPr>
          <w:shd w:val="clear" w:color="auto" w:fill="FFFFFF"/>
        </w:rPr>
      </w:pPr>
    </w:p>
    <w:p w:rsidR="007C6F41" w:rsidRDefault="00BD03AF">
      <w:bookmarkStart w:id="3" w:name="_GoBack"/>
      <w:bookmarkEnd w:id="3"/>
    </w:p>
    <w:sectPr w:rsidR="007C6F41" w:rsidSect="008300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2" w:rsidRDefault="00BD03AF" w:rsidP="0041283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CA2CF2" w:rsidRDefault="00BD03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2" w:rsidRDefault="00BD03AF" w:rsidP="0041283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A2CF2" w:rsidRDefault="00BD03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2" w:rsidRDefault="00BD03AF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2" w:rsidRDefault="00BD03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2" w:rsidRPr="00DE2471" w:rsidRDefault="00BD03AF" w:rsidP="00DE247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2" w:rsidRDefault="00BD03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F"/>
    <w:rsid w:val="004B3547"/>
    <w:rsid w:val="009D263E"/>
    <w:rsid w:val="00A3644B"/>
    <w:rsid w:val="00BD03AF"/>
    <w:rsid w:val="00C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3A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erschrift2">
    <w:name w:val="heading 2"/>
    <w:aliases w:val="Section heading"/>
    <w:basedOn w:val="Standard"/>
    <w:next w:val="Standard"/>
    <w:link w:val="berschrift2Zchn"/>
    <w:autoRedefine/>
    <w:uiPriority w:val="9"/>
    <w:unhideWhenUsed/>
    <w:qFormat/>
    <w:rsid w:val="00BD03AF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Section heading Zchn"/>
    <w:basedOn w:val="Absatz-Standardschriftart"/>
    <w:link w:val="berschrift2"/>
    <w:uiPriority w:val="9"/>
    <w:rsid w:val="00BD03AF"/>
    <w:rPr>
      <w:rFonts w:ascii="Times New Roman" w:eastAsia="Times New Roman" w:hAnsi="Times New Roman" w:cs="Times New Roman"/>
      <w:b/>
      <w:color w:val="000000" w:themeColor="text1"/>
      <w:sz w:val="28"/>
      <w:szCs w:val="26"/>
      <w:lang w:val="en-GB"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03AF"/>
    <w:pPr>
      <w:spacing w:after="80"/>
      <w:jc w:val="center"/>
    </w:pPr>
    <w:rPr>
      <w:iCs/>
      <w:color w:val="000000" w:themeColor="text1"/>
      <w:sz w:val="2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03A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03AF"/>
    <w:rPr>
      <w:rFonts w:ascii="Times New Roman" w:hAnsi="Times New Roman"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BD03A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03AF"/>
    <w:rPr>
      <w:rFonts w:ascii="Times New Roman" w:hAnsi="Times New Roman" w:cs="Times New Roman"/>
      <w:sz w:val="24"/>
      <w:szCs w:val="24"/>
      <w:lang w:val="en-GB" w:eastAsia="en-GB"/>
    </w:rPr>
  </w:style>
  <w:style w:type="character" w:styleId="Seitenzahl">
    <w:name w:val="page number"/>
    <w:basedOn w:val="Absatz-Standardschriftart"/>
    <w:uiPriority w:val="99"/>
    <w:semiHidden/>
    <w:unhideWhenUsed/>
    <w:rsid w:val="00BD03AF"/>
  </w:style>
  <w:style w:type="paragraph" w:customStyle="1" w:styleId="CitaviBibliographyEntry">
    <w:name w:val="Citavi Bibliography Entry"/>
    <w:basedOn w:val="Standard"/>
    <w:link w:val="CitaviBibliographyEntryZchn"/>
    <w:rsid w:val="00BD03AF"/>
    <w:pPr>
      <w:tabs>
        <w:tab w:val="left" w:pos="454"/>
      </w:tabs>
      <w:ind w:left="454" w:hanging="454"/>
    </w:pPr>
    <w:rPr>
      <w:rFonts w:eastAsia="Times New Roman"/>
      <w:color w:val="000000" w:themeColor="text1"/>
      <w:sz w:val="28"/>
      <w:szCs w:val="26"/>
    </w:rPr>
  </w:style>
  <w:style w:type="character" w:customStyle="1" w:styleId="CitaviBibliographyEntryZchn">
    <w:name w:val="Citavi Bibliography Entry Zchn"/>
    <w:basedOn w:val="berschrift2Zchn"/>
    <w:link w:val="CitaviBibliographyEntry"/>
    <w:rsid w:val="00BD03AF"/>
    <w:rPr>
      <w:rFonts w:ascii="Times New Roman" w:eastAsia="Times New Roman" w:hAnsi="Times New Roman" w:cs="Times New Roman"/>
      <w:b w:val="0"/>
      <w:color w:val="000000" w:themeColor="text1"/>
      <w:sz w:val="28"/>
      <w:szCs w:val="26"/>
      <w:lang w:val="en-GB" w:eastAsia="en-GB"/>
    </w:rPr>
  </w:style>
  <w:style w:type="table" w:customStyle="1" w:styleId="HelleSchattierung-Akzent11">
    <w:name w:val="Helle Schattierung - Akzent 11"/>
    <w:basedOn w:val="NormaleTabelle"/>
    <w:uiPriority w:val="60"/>
    <w:rsid w:val="00BD03AF"/>
    <w:pPr>
      <w:spacing w:after="0" w:line="240" w:lineRule="auto"/>
      <w:jc w:val="center"/>
    </w:pPr>
    <w:rPr>
      <w:rFonts w:eastAsiaTheme="minorEastAsia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3A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erschrift2">
    <w:name w:val="heading 2"/>
    <w:aliases w:val="Section heading"/>
    <w:basedOn w:val="Standard"/>
    <w:next w:val="Standard"/>
    <w:link w:val="berschrift2Zchn"/>
    <w:autoRedefine/>
    <w:uiPriority w:val="9"/>
    <w:unhideWhenUsed/>
    <w:qFormat/>
    <w:rsid w:val="00BD03AF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Section heading Zchn"/>
    <w:basedOn w:val="Absatz-Standardschriftart"/>
    <w:link w:val="berschrift2"/>
    <w:uiPriority w:val="9"/>
    <w:rsid w:val="00BD03AF"/>
    <w:rPr>
      <w:rFonts w:ascii="Times New Roman" w:eastAsia="Times New Roman" w:hAnsi="Times New Roman" w:cs="Times New Roman"/>
      <w:b/>
      <w:color w:val="000000" w:themeColor="text1"/>
      <w:sz w:val="28"/>
      <w:szCs w:val="26"/>
      <w:lang w:val="en-GB"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03AF"/>
    <w:pPr>
      <w:spacing w:after="80"/>
      <w:jc w:val="center"/>
    </w:pPr>
    <w:rPr>
      <w:iCs/>
      <w:color w:val="000000" w:themeColor="text1"/>
      <w:sz w:val="2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03A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03AF"/>
    <w:rPr>
      <w:rFonts w:ascii="Times New Roman" w:hAnsi="Times New Roman"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BD03A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03AF"/>
    <w:rPr>
      <w:rFonts w:ascii="Times New Roman" w:hAnsi="Times New Roman" w:cs="Times New Roman"/>
      <w:sz w:val="24"/>
      <w:szCs w:val="24"/>
      <w:lang w:val="en-GB" w:eastAsia="en-GB"/>
    </w:rPr>
  </w:style>
  <w:style w:type="character" w:styleId="Seitenzahl">
    <w:name w:val="page number"/>
    <w:basedOn w:val="Absatz-Standardschriftart"/>
    <w:uiPriority w:val="99"/>
    <w:semiHidden/>
    <w:unhideWhenUsed/>
    <w:rsid w:val="00BD03AF"/>
  </w:style>
  <w:style w:type="paragraph" w:customStyle="1" w:styleId="CitaviBibliographyEntry">
    <w:name w:val="Citavi Bibliography Entry"/>
    <w:basedOn w:val="Standard"/>
    <w:link w:val="CitaviBibliographyEntryZchn"/>
    <w:rsid w:val="00BD03AF"/>
    <w:pPr>
      <w:tabs>
        <w:tab w:val="left" w:pos="454"/>
      </w:tabs>
      <w:ind w:left="454" w:hanging="454"/>
    </w:pPr>
    <w:rPr>
      <w:rFonts w:eastAsia="Times New Roman"/>
      <w:color w:val="000000" w:themeColor="text1"/>
      <w:sz w:val="28"/>
      <w:szCs w:val="26"/>
    </w:rPr>
  </w:style>
  <w:style w:type="character" w:customStyle="1" w:styleId="CitaviBibliographyEntryZchn">
    <w:name w:val="Citavi Bibliography Entry Zchn"/>
    <w:basedOn w:val="berschrift2Zchn"/>
    <w:link w:val="CitaviBibliographyEntry"/>
    <w:rsid w:val="00BD03AF"/>
    <w:rPr>
      <w:rFonts w:ascii="Times New Roman" w:eastAsia="Times New Roman" w:hAnsi="Times New Roman" w:cs="Times New Roman"/>
      <w:b w:val="0"/>
      <w:color w:val="000000" w:themeColor="text1"/>
      <w:sz w:val="28"/>
      <w:szCs w:val="26"/>
      <w:lang w:val="en-GB" w:eastAsia="en-GB"/>
    </w:rPr>
  </w:style>
  <w:style w:type="table" w:customStyle="1" w:styleId="HelleSchattierung-Akzent11">
    <w:name w:val="Helle Schattierung - Akzent 11"/>
    <w:basedOn w:val="NormaleTabelle"/>
    <w:uiPriority w:val="60"/>
    <w:rsid w:val="00BD03AF"/>
    <w:pPr>
      <w:spacing w:after="0" w:line="240" w:lineRule="auto"/>
      <w:jc w:val="center"/>
    </w:pPr>
    <w:rPr>
      <w:rFonts w:eastAsiaTheme="minorEastAsia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Albrecht</dc:creator>
  <cp:lastModifiedBy>Antonia Albrecht</cp:lastModifiedBy>
  <cp:revision>1</cp:revision>
  <dcterms:created xsi:type="dcterms:W3CDTF">2018-11-22T20:30:00Z</dcterms:created>
  <dcterms:modified xsi:type="dcterms:W3CDTF">2018-11-22T20:31:00Z</dcterms:modified>
</cp:coreProperties>
</file>