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163"/>
        <w:tblOverlap w:val="never"/>
        <w:tblW w:w="9855" w:type="dxa"/>
        <w:tblLayout w:type="fixed"/>
        <w:tblLook w:val="04A0" w:firstRow="1" w:lastRow="0" w:firstColumn="1" w:lastColumn="0" w:noHBand="0" w:noVBand="1"/>
      </w:tblPr>
      <w:tblGrid>
        <w:gridCol w:w="2310"/>
        <w:gridCol w:w="3810"/>
        <w:gridCol w:w="3735"/>
      </w:tblGrid>
      <w:tr w:rsidR="00CE127C" w:rsidTr="00CE127C">
        <w:trPr>
          <w:trHeight w:val="558"/>
        </w:trPr>
        <w:tc>
          <w:tcPr>
            <w:tcW w:w="2310" w:type="dxa"/>
            <w:vAlign w:val="center"/>
          </w:tcPr>
          <w:p w:rsidR="00CE127C" w:rsidRDefault="00CE127C" w:rsidP="00CE127C">
            <w:pPr>
              <w:widowControl/>
              <w:jc w:val="left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3810" w:type="dxa"/>
            <w:vAlign w:val="center"/>
          </w:tcPr>
          <w:p w:rsidR="00CE127C" w:rsidRDefault="00CE127C" w:rsidP="00CE127C">
            <w:pPr>
              <w:widowControl/>
              <w:jc w:val="left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bidi="ar"/>
              </w:rPr>
              <w:t>sense</w:t>
            </w:r>
            <w:r>
              <w:rPr>
                <w:rFonts w:ascii="Arial" w:hAnsi="Arial" w:cs="Arial"/>
                <w:color w:val="000000"/>
                <w:lang w:bidi="ar"/>
              </w:rPr>
              <w:t>（</w:t>
            </w:r>
            <w:r>
              <w:rPr>
                <w:rFonts w:ascii="Arial" w:hAnsi="Arial" w:cs="Arial"/>
                <w:color w:val="000000"/>
                <w:lang w:bidi="ar"/>
              </w:rPr>
              <w:t>5'-3'</w:t>
            </w:r>
            <w:r>
              <w:rPr>
                <w:rFonts w:ascii="Arial" w:hAnsi="Arial" w:cs="Arial"/>
                <w:color w:val="000000"/>
                <w:lang w:bidi="ar"/>
              </w:rPr>
              <w:t>）</w:t>
            </w:r>
          </w:p>
        </w:tc>
        <w:tc>
          <w:tcPr>
            <w:tcW w:w="3735" w:type="dxa"/>
            <w:vAlign w:val="center"/>
          </w:tcPr>
          <w:p w:rsidR="00CE127C" w:rsidRDefault="00CE127C" w:rsidP="00CE127C">
            <w:pPr>
              <w:widowControl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bidi="ar"/>
              </w:rPr>
              <w:t>antisense</w:t>
            </w:r>
            <w:r>
              <w:rPr>
                <w:rFonts w:ascii="Arial" w:hAnsi="Arial" w:cs="Arial"/>
                <w:color w:val="000000"/>
                <w:lang w:bidi="ar"/>
              </w:rPr>
              <w:t>（</w:t>
            </w:r>
            <w:r>
              <w:rPr>
                <w:rFonts w:ascii="Arial" w:hAnsi="Arial" w:cs="Arial"/>
                <w:color w:val="000000"/>
                <w:lang w:bidi="ar"/>
              </w:rPr>
              <w:t>5'-3'</w:t>
            </w:r>
            <w:r>
              <w:rPr>
                <w:rFonts w:ascii="Arial" w:hAnsi="Arial" w:cs="Arial"/>
                <w:color w:val="000000"/>
                <w:lang w:bidi="ar"/>
              </w:rPr>
              <w:t>）</w:t>
            </w:r>
          </w:p>
        </w:tc>
      </w:tr>
      <w:tr w:rsidR="00CE127C" w:rsidTr="00CE127C">
        <w:trPr>
          <w:trHeight w:val="499"/>
        </w:trPr>
        <w:tc>
          <w:tcPr>
            <w:tcW w:w="2310" w:type="dxa"/>
            <w:vAlign w:val="center"/>
          </w:tcPr>
          <w:p w:rsidR="00CE127C" w:rsidRDefault="0013488C" w:rsidP="00CE127C">
            <w:pPr>
              <w:widowControl/>
              <w:jc w:val="left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bidi="ar"/>
              </w:rPr>
              <w:t>Si-SLC15A3 #1</w:t>
            </w:r>
          </w:p>
        </w:tc>
        <w:tc>
          <w:tcPr>
            <w:tcW w:w="3810" w:type="dxa"/>
            <w:vAlign w:val="center"/>
          </w:tcPr>
          <w:p w:rsidR="00CE127C" w:rsidRDefault="00CE127C" w:rsidP="00CE127C">
            <w:pPr>
              <w:widowControl/>
              <w:jc w:val="left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color w:val="000000"/>
                <w:lang w:bidi="ar"/>
              </w:rPr>
              <w:t>5</w:t>
            </w:r>
            <w:r>
              <w:rPr>
                <w:rFonts w:ascii="Arial" w:hAnsi="Arial" w:cs="Arial"/>
                <w:color w:val="000000"/>
                <w:lang w:bidi="ar"/>
              </w:rPr>
              <w:t>’</w:t>
            </w:r>
            <w:r>
              <w:rPr>
                <w:rFonts w:ascii="Arial" w:hAnsi="Arial" w:cs="Arial" w:hint="eastAsia"/>
                <w:color w:val="000000"/>
                <w:lang w:bidi="ar"/>
              </w:rPr>
              <w:t>-</w:t>
            </w:r>
            <w:r>
              <w:rPr>
                <w:rFonts w:ascii="Arial" w:hAnsi="Arial" w:cs="Arial"/>
                <w:color w:val="000000"/>
                <w:lang w:bidi="ar"/>
              </w:rPr>
              <w:t>GCAGCCAAGUGUCCUCUAUTT</w:t>
            </w:r>
            <w:r>
              <w:rPr>
                <w:rFonts w:ascii="Arial" w:hAnsi="Arial" w:cs="Arial" w:hint="eastAsia"/>
                <w:color w:val="000000"/>
                <w:lang w:bidi="ar"/>
              </w:rPr>
              <w:t>-3</w:t>
            </w:r>
            <w:r>
              <w:rPr>
                <w:rFonts w:ascii="Arial" w:hAnsi="Arial" w:cs="Arial"/>
                <w:color w:val="000000"/>
                <w:lang w:bidi="ar"/>
              </w:rPr>
              <w:t xml:space="preserve">’ </w:t>
            </w:r>
          </w:p>
        </w:tc>
        <w:tc>
          <w:tcPr>
            <w:tcW w:w="3735" w:type="dxa"/>
            <w:vAlign w:val="center"/>
          </w:tcPr>
          <w:p w:rsidR="00CE127C" w:rsidRDefault="00CE127C" w:rsidP="00CE127C">
            <w:pPr>
              <w:widowControl/>
              <w:jc w:val="left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color w:val="000000"/>
                <w:lang w:bidi="ar"/>
              </w:rPr>
              <w:t>5</w:t>
            </w:r>
            <w:r>
              <w:rPr>
                <w:rFonts w:ascii="Arial" w:hAnsi="Arial" w:cs="Arial"/>
                <w:color w:val="000000"/>
                <w:lang w:bidi="ar"/>
              </w:rPr>
              <w:t>’</w:t>
            </w:r>
            <w:r>
              <w:rPr>
                <w:rFonts w:ascii="Arial" w:hAnsi="Arial" w:cs="Arial" w:hint="eastAsia"/>
                <w:color w:val="000000"/>
                <w:lang w:bidi="ar"/>
              </w:rPr>
              <w:t>-</w:t>
            </w:r>
            <w:r>
              <w:rPr>
                <w:rFonts w:ascii="Arial" w:hAnsi="Arial" w:cs="Arial"/>
                <w:color w:val="000000"/>
                <w:lang w:bidi="ar"/>
              </w:rPr>
              <w:t>AUAGAGGACACUUGGCUGCTT</w:t>
            </w:r>
            <w:r>
              <w:rPr>
                <w:rFonts w:ascii="Arial" w:hAnsi="Arial" w:cs="Arial" w:hint="eastAsia"/>
                <w:color w:val="000000"/>
                <w:lang w:bidi="ar"/>
              </w:rPr>
              <w:t>-3</w:t>
            </w:r>
            <w:r>
              <w:rPr>
                <w:rFonts w:ascii="Arial" w:hAnsi="Arial" w:cs="Arial"/>
                <w:color w:val="000000"/>
                <w:lang w:bidi="ar"/>
              </w:rPr>
              <w:t xml:space="preserve">’ </w:t>
            </w:r>
          </w:p>
        </w:tc>
      </w:tr>
      <w:tr w:rsidR="00CE127C" w:rsidTr="00CE127C">
        <w:trPr>
          <w:trHeight w:val="514"/>
        </w:trPr>
        <w:tc>
          <w:tcPr>
            <w:tcW w:w="2310" w:type="dxa"/>
            <w:vAlign w:val="center"/>
          </w:tcPr>
          <w:p w:rsidR="00CE127C" w:rsidRDefault="0013488C" w:rsidP="00CE127C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lang w:bidi="ar"/>
              </w:rPr>
            </w:pPr>
            <w:r>
              <w:rPr>
                <w:rFonts w:ascii="Arial" w:hAnsi="Arial" w:cs="Arial"/>
                <w:color w:val="000000"/>
                <w:lang w:bidi="ar"/>
              </w:rPr>
              <w:t>Si-SLC15A3 #2</w:t>
            </w:r>
          </w:p>
        </w:tc>
        <w:tc>
          <w:tcPr>
            <w:tcW w:w="3810" w:type="dxa"/>
            <w:vAlign w:val="center"/>
          </w:tcPr>
          <w:p w:rsidR="00CE127C" w:rsidRDefault="00CE127C" w:rsidP="00CE127C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lang w:bidi="ar"/>
              </w:rPr>
            </w:pPr>
            <w:r>
              <w:rPr>
                <w:rFonts w:ascii="Arial" w:hAnsi="Arial" w:cs="Arial" w:hint="eastAsia"/>
                <w:color w:val="000000"/>
                <w:lang w:bidi="ar"/>
              </w:rPr>
              <w:t>5</w:t>
            </w:r>
            <w:r>
              <w:rPr>
                <w:rFonts w:ascii="Arial" w:hAnsi="Arial" w:cs="Arial"/>
                <w:color w:val="000000"/>
                <w:lang w:bidi="ar"/>
              </w:rPr>
              <w:t>’</w:t>
            </w:r>
            <w:r>
              <w:rPr>
                <w:rFonts w:ascii="Arial" w:hAnsi="Arial" w:cs="Arial" w:hint="eastAsia"/>
                <w:color w:val="000000"/>
                <w:lang w:bidi="ar"/>
              </w:rPr>
              <w:t>-</w:t>
            </w:r>
            <w:r>
              <w:rPr>
                <w:rFonts w:ascii="Arial" w:hAnsi="Arial" w:cs="Arial"/>
                <w:color w:val="000000"/>
                <w:lang w:bidi="ar"/>
              </w:rPr>
              <w:t>CCGCUUGAUCGACCCUUUATT</w:t>
            </w:r>
            <w:r>
              <w:rPr>
                <w:rFonts w:ascii="Arial" w:hAnsi="Arial" w:cs="Arial" w:hint="eastAsia"/>
                <w:color w:val="000000"/>
                <w:lang w:bidi="ar"/>
              </w:rPr>
              <w:t>-3</w:t>
            </w:r>
            <w:r>
              <w:rPr>
                <w:rFonts w:ascii="Arial" w:hAnsi="Arial" w:cs="Arial"/>
                <w:color w:val="000000"/>
                <w:lang w:bidi="ar"/>
              </w:rPr>
              <w:t xml:space="preserve">’ </w:t>
            </w:r>
          </w:p>
        </w:tc>
        <w:tc>
          <w:tcPr>
            <w:tcW w:w="3735" w:type="dxa"/>
            <w:vAlign w:val="center"/>
          </w:tcPr>
          <w:p w:rsidR="00CE127C" w:rsidRDefault="00CE127C" w:rsidP="00CE127C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lang w:bidi="ar"/>
              </w:rPr>
            </w:pPr>
            <w:r>
              <w:rPr>
                <w:rFonts w:ascii="Arial" w:hAnsi="Arial" w:cs="Arial" w:hint="eastAsia"/>
                <w:color w:val="000000"/>
                <w:lang w:bidi="ar"/>
              </w:rPr>
              <w:t>5</w:t>
            </w:r>
            <w:r>
              <w:rPr>
                <w:rFonts w:ascii="Arial" w:hAnsi="Arial" w:cs="Arial"/>
                <w:color w:val="000000"/>
                <w:lang w:bidi="ar"/>
              </w:rPr>
              <w:t>’</w:t>
            </w:r>
            <w:r>
              <w:rPr>
                <w:rFonts w:ascii="Arial" w:hAnsi="Arial" w:cs="Arial" w:hint="eastAsia"/>
                <w:color w:val="000000"/>
                <w:lang w:bidi="ar"/>
              </w:rPr>
              <w:t>-</w:t>
            </w:r>
            <w:r>
              <w:rPr>
                <w:rFonts w:ascii="Arial" w:hAnsi="Arial" w:cs="Arial"/>
                <w:color w:val="000000"/>
                <w:lang w:bidi="ar"/>
              </w:rPr>
              <w:t>UAAAGGGUCGAUCAAGCGGTT</w:t>
            </w:r>
            <w:r>
              <w:rPr>
                <w:rFonts w:ascii="Arial" w:hAnsi="Arial" w:cs="Arial" w:hint="eastAsia"/>
                <w:color w:val="000000"/>
                <w:lang w:bidi="ar"/>
              </w:rPr>
              <w:t>-3</w:t>
            </w:r>
            <w:r>
              <w:rPr>
                <w:rFonts w:ascii="Arial" w:hAnsi="Arial" w:cs="Arial"/>
                <w:color w:val="000000"/>
                <w:lang w:bidi="ar"/>
              </w:rPr>
              <w:t>’</w:t>
            </w:r>
          </w:p>
        </w:tc>
      </w:tr>
      <w:tr w:rsidR="00CE127C" w:rsidTr="00CE127C">
        <w:trPr>
          <w:trHeight w:val="514"/>
        </w:trPr>
        <w:tc>
          <w:tcPr>
            <w:tcW w:w="2310" w:type="dxa"/>
            <w:vAlign w:val="center"/>
          </w:tcPr>
          <w:p w:rsidR="00CE127C" w:rsidRDefault="0013488C" w:rsidP="00CE127C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lang w:bidi="ar"/>
              </w:rPr>
            </w:pPr>
            <w:r>
              <w:rPr>
                <w:rFonts w:ascii="Arial" w:hAnsi="Arial" w:cs="Arial"/>
                <w:color w:val="000000"/>
                <w:lang w:bidi="ar"/>
              </w:rPr>
              <w:t>Si-SLC15A3 #3</w:t>
            </w:r>
          </w:p>
        </w:tc>
        <w:tc>
          <w:tcPr>
            <w:tcW w:w="3810" w:type="dxa"/>
            <w:vAlign w:val="center"/>
          </w:tcPr>
          <w:p w:rsidR="00CE127C" w:rsidRDefault="00CE127C" w:rsidP="00CE127C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lang w:bidi="ar"/>
              </w:rPr>
            </w:pPr>
            <w:r>
              <w:rPr>
                <w:rFonts w:ascii="Arial" w:hAnsi="Arial" w:cs="Arial" w:hint="eastAsia"/>
                <w:color w:val="000000"/>
                <w:lang w:bidi="ar"/>
              </w:rPr>
              <w:t>5</w:t>
            </w:r>
            <w:r>
              <w:rPr>
                <w:rFonts w:ascii="Arial" w:hAnsi="Arial" w:cs="Arial"/>
                <w:color w:val="000000"/>
                <w:lang w:bidi="ar"/>
              </w:rPr>
              <w:t>’</w:t>
            </w:r>
            <w:r>
              <w:rPr>
                <w:rFonts w:ascii="Arial" w:hAnsi="Arial" w:cs="Arial" w:hint="eastAsia"/>
                <w:color w:val="000000"/>
                <w:lang w:bidi="ar"/>
              </w:rPr>
              <w:t>-</w:t>
            </w:r>
            <w:r>
              <w:rPr>
                <w:rFonts w:ascii="Arial" w:hAnsi="Arial" w:cs="Arial"/>
                <w:color w:val="000000"/>
                <w:lang w:bidi="ar"/>
              </w:rPr>
              <w:t>GCCAUCAUGGGCAUCUUCUTT</w:t>
            </w:r>
            <w:r>
              <w:rPr>
                <w:rFonts w:ascii="Arial" w:hAnsi="Arial" w:cs="Arial" w:hint="eastAsia"/>
                <w:color w:val="000000"/>
                <w:lang w:bidi="ar"/>
              </w:rPr>
              <w:t>-3</w:t>
            </w:r>
            <w:r>
              <w:rPr>
                <w:rFonts w:ascii="Arial" w:hAnsi="Arial" w:cs="Arial"/>
                <w:color w:val="000000"/>
                <w:lang w:bidi="ar"/>
              </w:rPr>
              <w:t>’</w:t>
            </w:r>
          </w:p>
        </w:tc>
        <w:tc>
          <w:tcPr>
            <w:tcW w:w="3735" w:type="dxa"/>
            <w:vAlign w:val="center"/>
          </w:tcPr>
          <w:p w:rsidR="00CE127C" w:rsidRDefault="00CE127C" w:rsidP="00CE127C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lang w:bidi="ar"/>
              </w:rPr>
            </w:pPr>
            <w:r>
              <w:rPr>
                <w:rFonts w:ascii="Arial" w:hAnsi="Arial" w:cs="Arial" w:hint="eastAsia"/>
                <w:color w:val="000000"/>
                <w:lang w:bidi="ar"/>
              </w:rPr>
              <w:t>5</w:t>
            </w:r>
            <w:r>
              <w:rPr>
                <w:rFonts w:ascii="Arial" w:hAnsi="Arial" w:cs="Arial"/>
                <w:color w:val="000000"/>
                <w:lang w:bidi="ar"/>
              </w:rPr>
              <w:t>’</w:t>
            </w:r>
            <w:r>
              <w:rPr>
                <w:rFonts w:ascii="Arial" w:hAnsi="Arial" w:cs="Arial" w:hint="eastAsia"/>
                <w:color w:val="000000"/>
                <w:lang w:bidi="ar"/>
              </w:rPr>
              <w:t>-</w:t>
            </w:r>
            <w:r>
              <w:rPr>
                <w:rFonts w:ascii="Arial" w:hAnsi="Arial" w:cs="Arial"/>
                <w:color w:val="000000"/>
                <w:lang w:bidi="ar"/>
              </w:rPr>
              <w:t>AGAAGAUGCCCAUGAUGGCTT</w:t>
            </w:r>
            <w:r>
              <w:rPr>
                <w:rFonts w:ascii="Arial" w:hAnsi="Arial" w:cs="Arial" w:hint="eastAsia"/>
                <w:color w:val="000000"/>
                <w:lang w:bidi="ar"/>
              </w:rPr>
              <w:t>-3</w:t>
            </w:r>
            <w:r>
              <w:rPr>
                <w:rFonts w:ascii="Arial" w:hAnsi="Arial" w:cs="Arial"/>
                <w:color w:val="000000"/>
                <w:lang w:bidi="ar"/>
              </w:rPr>
              <w:t>’</w:t>
            </w:r>
          </w:p>
        </w:tc>
      </w:tr>
    </w:tbl>
    <w:p w:rsidR="00CE127C" w:rsidRDefault="00E72793">
      <w:r>
        <w:t xml:space="preserve">                   </w:t>
      </w:r>
      <w:r w:rsidR="00CE127C">
        <w:t xml:space="preserve">    </w:t>
      </w:r>
    </w:p>
    <w:p w:rsidR="00E72793" w:rsidRDefault="00CE127C">
      <w:r>
        <w:t xml:space="preserve">                                                Table S1:  siRNA sequences of SLC15A3</w:t>
      </w:r>
    </w:p>
    <w:p w:rsidR="00E72793" w:rsidRDefault="00E72793"/>
    <w:p w:rsidR="00E72793" w:rsidRDefault="00E72793"/>
    <w:p w:rsidR="00E72793" w:rsidRDefault="00E72793"/>
    <w:p w:rsidR="00E72793" w:rsidRDefault="00CE127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72793">
        <w:rPr>
          <w:rFonts w:ascii="Times New Roman" w:hAnsi="Times New Roman" w:cs="Times New Roman"/>
          <w:sz w:val="24"/>
          <w:szCs w:val="24"/>
        </w:rPr>
        <w:t>Table S2    Primer sequences</w:t>
      </w:r>
    </w:p>
    <w:tbl>
      <w:tblPr>
        <w:tblStyle w:val="TableGrid"/>
        <w:tblpPr w:leftFromText="180" w:rightFromText="180" w:vertAnchor="page" w:horzAnchor="margin" w:tblpXSpec="center" w:tblpY="6591"/>
        <w:tblOverlap w:val="never"/>
        <w:tblW w:w="6351" w:type="dxa"/>
        <w:tblLayout w:type="fixed"/>
        <w:tblLook w:val="04A0" w:firstRow="1" w:lastRow="0" w:firstColumn="1" w:lastColumn="0" w:noHBand="0" w:noVBand="1"/>
      </w:tblPr>
      <w:tblGrid>
        <w:gridCol w:w="1471"/>
        <w:gridCol w:w="4880"/>
      </w:tblGrid>
      <w:tr w:rsidR="00CE127C" w:rsidTr="00CE127C">
        <w:tc>
          <w:tcPr>
            <w:tcW w:w="1471" w:type="dxa"/>
          </w:tcPr>
          <w:p w:rsidR="00CE127C" w:rsidRPr="00941A68" w:rsidRDefault="00CE127C" w:rsidP="00CE127C">
            <w:pPr>
              <w:rPr>
                <w:sz w:val="22"/>
                <w:szCs w:val="22"/>
              </w:rPr>
            </w:pPr>
            <w:r w:rsidRPr="00FE3B52">
              <w:rPr>
                <w:i/>
                <w:sz w:val="22"/>
                <w:szCs w:val="22"/>
              </w:rPr>
              <w:t>SLC15A3</w:t>
            </w:r>
            <w:r w:rsidRPr="00941A68">
              <w:rPr>
                <w:sz w:val="22"/>
                <w:szCs w:val="22"/>
              </w:rPr>
              <w:t xml:space="preserve">-F </w:t>
            </w:r>
          </w:p>
        </w:tc>
        <w:tc>
          <w:tcPr>
            <w:tcW w:w="4880" w:type="dxa"/>
          </w:tcPr>
          <w:p w:rsidR="00CE127C" w:rsidRPr="00941A68" w:rsidRDefault="00CE127C" w:rsidP="00CE127C">
            <w:pPr>
              <w:rPr>
                <w:sz w:val="22"/>
                <w:szCs w:val="22"/>
              </w:rPr>
            </w:pPr>
            <w:r w:rsidRPr="00941A68">
              <w:rPr>
                <w:sz w:val="22"/>
                <w:szCs w:val="22"/>
              </w:rPr>
              <w:t>5’-</w:t>
            </w:r>
            <w:r w:rsidRPr="00941A68">
              <w:rPr>
                <w:rFonts w:eastAsiaTheme="minorEastAsia"/>
                <w:sz w:val="22"/>
                <w:szCs w:val="22"/>
              </w:rPr>
              <w:t>TGGCGTTTATTCAGCAGAACA</w:t>
            </w:r>
            <w:r w:rsidRPr="00941A68">
              <w:rPr>
                <w:sz w:val="22"/>
                <w:szCs w:val="22"/>
              </w:rPr>
              <w:t>-3’</w:t>
            </w:r>
          </w:p>
        </w:tc>
      </w:tr>
      <w:tr w:rsidR="00CE127C" w:rsidTr="00CE127C">
        <w:tc>
          <w:tcPr>
            <w:tcW w:w="1471" w:type="dxa"/>
          </w:tcPr>
          <w:p w:rsidR="00CE127C" w:rsidRPr="00941A68" w:rsidRDefault="00CE127C" w:rsidP="00CE127C">
            <w:pPr>
              <w:rPr>
                <w:sz w:val="22"/>
                <w:szCs w:val="22"/>
              </w:rPr>
            </w:pPr>
            <w:r w:rsidRPr="00FE3B52">
              <w:rPr>
                <w:i/>
                <w:sz w:val="22"/>
                <w:szCs w:val="22"/>
              </w:rPr>
              <w:t>SLC15A3</w:t>
            </w:r>
            <w:r w:rsidRPr="00941A68">
              <w:rPr>
                <w:sz w:val="22"/>
                <w:szCs w:val="22"/>
              </w:rPr>
              <w:t>-R</w:t>
            </w:r>
          </w:p>
        </w:tc>
        <w:tc>
          <w:tcPr>
            <w:tcW w:w="4880" w:type="dxa"/>
          </w:tcPr>
          <w:p w:rsidR="00CE127C" w:rsidRPr="00941A68" w:rsidRDefault="00CE127C" w:rsidP="00CE127C">
            <w:pPr>
              <w:rPr>
                <w:sz w:val="22"/>
                <w:szCs w:val="22"/>
              </w:rPr>
            </w:pPr>
            <w:r w:rsidRPr="00941A68">
              <w:rPr>
                <w:sz w:val="22"/>
                <w:szCs w:val="22"/>
              </w:rPr>
              <w:t>5’-TCTCTGGCCGAGTGTCGTT-3’</w:t>
            </w:r>
          </w:p>
        </w:tc>
      </w:tr>
      <w:tr w:rsidR="00941A68" w:rsidTr="00CE127C">
        <w:tc>
          <w:tcPr>
            <w:tcW w:w="1471" w:type="dxa"/>
            <w:shd w:val="clear" w:color="auto" w:fill="FFFFFF"/>
            <w:vAlign w:val="center"/>
          </w:tcPr>
          <w:p w:rsidR="00941A68" w:rsidRPr="00941A68" w:rsidRDefault="00941A68" w:rsidP="00941A68">
            <w:pPr>
              <w:widowControl/>
              <w:spacing w:after="0" w:line="360" w:lineRule="auto"/>
              <w:jc w:val="lef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 w:rsidRPr="00FE3B52">
              <w:rPr>
                <w:i/>
                <w:color w:val="000000"/>
                <w:sz w:val="22"/>
                <w:szCs w:val="22"/>
                <w:lang w:bidi="ar"/>
              </w:rPr>
              <w:t>SLC15A4</w:t>
            </w:r>
            <w:r w:rsidRPr="00941A68">
              <w:rPr>
                <w:color w:val="000000"/>
                <w:sz w:val="22"/>
                <w:szCs w:val="22"/>
                <w:lang w:bidi="ar"/>
              </w:rPr>
              <w:t>-F</w:t>
            </w:r>
          </w:p>
        </w:tc>
        <w:tc>
          <w:tcPr>
            <w:tcW w:w="4880" w:type="dxa"/>
            <w:shd w:val="clear" w:color="auto" w:fill="FFFFFF"/>
            <w:vAlign w:val="center"/>
          </w:tcPr>
          <w:p w:rsidR="00941A68" w:rsidRPr="00941A68" w:rsidRDefault="00941A68" w:rsidP="00941A68">
            <w:pPr>
              <w:widowControl/>
              <w:spacing w:after="0" w:line="360" w:lineRule="auto"/>
              <w:jc w:val="lef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 w:rsidRPr="00941A68">
              <w:rPr>
                <w:color w:val="000000"/>
                <w:sz w:val="22"/>
                <w:szCs w:val="22"/>
                <w:lang w:bidi="ar"/>
              </w:rPr>
              <w:t>5’-CCAGAGCGTTTTCATCACCAA-3’</w:t>
            </w:r>
          </w:p>
        </w:tc>
      </w:tr>
      <w:tr w:rsidR="00941A68" w:rsidTr="00CE127C">
        <w:tc>
          <w:tcPr>
            <w:tcW w:w="1471" w:type="dxa"/>
            <w:shd w:val="clear" w:color="auto" w:fill="FFFFFF"/>
            <w:vAlign w:val="center"/>
          </w:tcPr>
          <w:p w:rsidR="00941A68" w:rsidRPr="00941A68" w:rsidRDefault="00941A68" w:rsidP="00941A68">
            <w:pPr>
              <w:widowControl/>
              <w:spacing w:after="0" w:line="360" w:lineRule="auto"/>
              <w:jc w:val="lef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 w:rsidRPr="00FE3B52">
              <w:rPr>
                <w:i/>
                <w:color w:val="000000"/>
                <w:sz w:val="22"/>
                <w:szCs w:val="22"/>
                <w:lang w:bidi="ar"/>
              </w:rPr>
              <w:t>SLC15A4</w:t>
            </w:r>
            <w:r w:rsidRPr="00941A68">
              <w:rPr>
                <w:color w:val="000000"/>
                <w:sz w:val="22"/>
                <w:szCs w:val="22"/>
                <w:lang w:bidi="ar"/>
              </w:rPr>
              <w:t>-R</w:t>
            </w:r>
          </w:p>
        </w:tc>
        <w:tc>
          <w:tcPr>
            <w:tcW w:w="4880" w:type="dxa"/>
            <w:shd w:val="clear" w:color="auto" w:fill="FFFFFF"/>
            <w:vAlign w:val="center"/>
          </w:tcPr>
          <w:p w:rsidR="00941A68" w:rsidRPr="00941A68" w:rsidRDefault="00941A68" w:rsidP="00941A68">
            <w:pPr>
              <w:widowControl/>
              <w:spacing w:after="0" w:line="360" w:lineRule="auto"/>
              <w:jc w:val="lef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 w:rsidRPr="00941A68">
              <w:rPr>
                <w:color w:val="000000"/>
                <w:sz w:val="22"/>
                <w:szCs w:val="22"/>
                <w:lang w:bidi="ar"/>
              </w:rPr>
              <w:t>5’-GCCCACCATGAGACATCTTACA-3’</w:t>
            </w:r>
          </w:p>
        </w:tc>
      </w:tr>
      <w:tr w:rsidR="00941A68" w:rsidTr="00CE127C">
        <w:tc>
          <w:tcPr>
            <w:tcW w:w="1471" w:type="dxa"/>
            <w:shd w:val="clear" w:color="auto" w:fill="FFFFFF"/>
            <w:vAlign w:val="center"/>
          </w:tcPr>
          <w:p w:rsidR="00941A68" w:rsidRPr="00941A68" w:rsidRDefault="00941A68" w:rsidP="00941A68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941A68">
              <w:rPr>
                <w:rFonts w:eastAsia="Tahoma"/>
                <w:color w:val="000000"/>
                <w:sz w:val="22"/>
                <w:szCs w:val="22"/>
                <w:lang w:bidi="ar"/>
              </w:rPr>
              <w:t>HSV-1</w:t>
            </w:r>
            <w:r w:rsidRPr="00FE3B52">
              <w:rPr>
                <w:rFonts w:eastAsia="Tahoma"/>
                <w:i/>
                <w:color w:val="000000"/>
                <w:sz w:val="22"/>
                <w:szCs w:val="22"/>
                <w:lang w:bidi="ar"/>
              </w:rPr>
              <w:t>gD</w:t>
            </w:r>
            <w:r w:rsidRPr="00941A68">
              <w:rPr>
                <w:rFonts w:eastAsia="Tahoma"/>
                <w:color w:val="000000"/>
                <w:sz w:val="22"/>
                <w:szCs w:val="22"/>
                <w:lang w:bidi="ar"/>
              </w:rPr>
              <w:t>-F</w:t>
            </w:r>
          </w:p>
        </w:tc>
        <w:tc>
          <w:tcPr>
            <w:tcW w:w="4880" w:type="dxa"/>
            <w:shd w:val="clear" w:color="auto" w:fill="FFFFFF"/>
            <w:vAlign w:val="center"/>
          </w:tcPr>
          <w:p w:rsidR="00941A68" w:rsidRPr="00941A68" w:rsidRDefault="00941A68" w:rsidP="00941A68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941A68">
              <w:rPr>
                <w:rFonts w:eastAsia="Tahoma"/>
                <w:color w:val="000000"/>
                <w:sz w:val="22"/>
                <w:szCs w:val="22"/>
                <w:lang w:bidi="ar"/>
              </w:rPr>
              <w:t>5’-CGGCCGTGTGACACTATCG-3’</w:t>
            </w:r>
          </w:p>
        </w:tc>
      </w:tr>
      <w:tr w:rsidR="00941A68" w:rsidTr="00CE127C">
        <w:tc>
          <w:tcPr>
            <w:tcW w:w="1471" w:type="dxa"/>
            <w:shd w:val="clear" w:color="auto" w:fill="FFFFFF"/>
            <w:vAlign w:val="center"/>
          </w:tcPr>
          <w:p w:rsidR="00941A68" w:rsidRPr="00941A68" w:rsidRDefault="00941A68" w:rsidP="00941A68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941A68">
              <w:rPr>
                <w:rFonts w:eastAsia="Tahoma"/>
                <w:color w:val="000000"/>
                <w:sz w:val="22"/>
                <w:szCs w:val="22"/>
                <w:lang w:bidi="ar"/>
              </w:rPr>
              <w:t>HSV-1</w:t>
            </w:r>
            <w:r w:rsidRPr="00FE3B52">
              <w:rPr>
                <w:rFonts w:eastAsia="Tahoma"/>
                <w:i/>
                <w:color w:val="000000"/>
                <w:sz w:val="22"/>
                <w:szCs w:val="22"/>
                <w:lang w:bidi="ar"/>
              </w:rPr>
              <w:t>gD</w:t>
            </w:r>
            <w:r w:rsidRPr="00941A68">
              <w:rPr>
                <w:rFonts w:eastAsia="Tahoma"/>
                <w:color w:val="000000"/>
                <w:sz w:val="22"/>
                <w:szCs w:val="22"/>
                <w:lang w:bidi="ar"/>
              </w:rPr>
              <w:t>-R</w:t>
            </w:r>
          </w:p>
        </w:tc>
        <w:tc>
          <w:tcPr>
            <w:tcW w:w="4880" w:type="dxa"/>
            <w:shd w:val="clear" w:color="auto" w:fill="FFFFFF"/>
            <w:vAlign w:val="center"/>
          </w:tcPr>
          <w:p w:rsidR="00941A68" w:rsidRPr="00941A68" w:rsidRDefault="00941A68" w:rsidP="00941A68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941A68">
              <w:rPr>
                <w:rFonts w:eastAsia="Tahoma"/>
                <w:color w:val="000000"/>
                <w:sz w:val="22"/>
                <w:szCs w:val="22"/>
                <w:lang w:bidi="ar"/>
              </w:rPr>
              <w:t>5’-CTCGTAAAATGGCCCCTCC-3’</w:t>
            </w:r>
          </w:p>
        </w:tc>
      </w:tr>
      <w:tr w:rsidR="00941A68" w:rsidTr="00CE127C">
        <w:tc>
          <w:tcPr>
            <w:tcW w:w="1471" w:type="dxa"/>
            <w:shd w:val="clear" w:color="auto" w:fill="FFFFFF"/>
            <w:vAlign w:val="center"/>
          </w:tcPr>
          <w:p w:rsidR="00941A68" w:rsidRPr="00941A68" w:rsidRDefault="00FE3B52" w:rsidP="00941A68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proofErr w:type="spellStart"/>
            <w:r w:rsidRPr="00FE3B52">
              <w:rPr>
                <w:rFonts w:eastAsia="Tahoma"/>
                <w:i/>
                <w:color w:val="000000"/>
                <w:sz w:val="22"/>
                <w:szCs w:val="22"/>
                <w:lang w:bidi="ar"/>
              </w:rPr>
              <w:t>IFNb</w:t>
            </w:r>
            <w:proofErr w:type="spellEnd"/>
            <w:r w:rsidR="00941A68" w:rsidRPr="00941A68">
              <w:rPr>
                <w:rFonts w:eastAsia="Tahoma"/>
                <w:color w:val="000000"/>
                <w:sz w:val="22"/>
                <w:szCs w:val="22"/>
                <w:lang w:bidi="ar"/>
              </w:rPr>
              <w:t>-F</w:t>
            </w:r>
          </w:p>
        </w:tc>
        <w:tc>
          <w:tcPr>
            <w:tcW w:w="4880" w:type="dxa"/>
            <w:shd w:val="clear" w:color="auto" w:fill="FFFFFF"/>
            <w:vAlign w:val="center"/>
          </w:tcPr>
          <w:p w:rsidR="00941A68" w:rsidRPr="00941A68" w:rsidRDefault="00941A68" w:rsidP="00941A68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941A68">
              <w:rPr>
                <w:rFonts w:eastAsia="Tahoma"/>
                <w:color w:val="000000"/>
                <w:sz w:val="22"/>
                <w:szCs w:val="22"/>
                <w:lang w:bidi="ar"/>
              </w:rPr>
              <w:t>5’-GCTTGGATTCCTACAAAGAAGCA-3’</w:t>
            </w:r>
          </w:p>
        </w:tc>
      </w:tr>
      <w:tr w:rsidR="00941A68" w:rsidTr="00CE127C">
        <w:tc>
          <w:tcPr>
            <w:tcW w:w="1471" w:type="dxa"/>
            <w:shd w:val="clear" w:color="auto" w:fill="FFFFFF"/>
            <w:vAlign w:val="center"/>
          </w:tcPr>
          <w:p w:rsidR="00941A68" w:rsidRPr="00941A68" w:rsidRDefault="00FE3B52" w:rsidP="00941A68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proofErr w:type="spellStart"/>
            <w:r w:rsidRPr="00FE3B52">
              <w:rPr>
                <w:rFonts w:eastAsia="Tahoma"/>
                <w:i/>
                <w:color w:val="000000"/>
                <w:sz w:val="22"/>
                <w:szCs w:val="22"/>
                <w:lang w:bidi="ar"/>
              </w:rPr>
              <w:t>IFNb</w:t>
            </w:r>
            <w:proofErr w:type="spellEnd"/>
            <w:r w:rsidR="00941A68" w:rsidRPr="00941A68">
              <w:rPr>
                <w:rFonts w:eastAsia="Tahoma"/>
                <w:color w:val="000000"/>
                <w:sz w:val="22"/>
                <w:szCs w:val="22"/>
                <w:lang w:bidi="ar"/>
              </w:rPr>
              <w:t>-R</w:t>
            </w:r>
          </w:p>
        </w:tc>
        <w:tc>
          <w:tcPr>
            <w:tcW w:w="4880" w:type="dxa"/>
            <w:shd w:val="clear" w:color="auto" w:fill="FFFFFF"/>
            <w:vAlign w:val="center"/>
          </w:tcPr>
          <w:p w:rsidR="00941A68" w:rsidRPr="00941A68" w:rsidRDefault="00941A68" w:rsidP="00941A68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941A68">
              <w:rPr>
                <w:rFonts w:eastAsia="Tahoma"/>
                <w:color w:val="000000"/>
                <w:sz w:val="22"/>
                <w:szCs w:val="22"/>
                <w:lang w:bidi="ar"/>
              </w:rPr>
              <w:t>5-ATAGATGGTCAATGCGGCGTC-3’</w:t>
            </w:r>
          </w:p>
        </w:tc>
      </w:tr>
      <w:tr w:rsidR="00941A68" w:rsidTr="00CE127C">
        <w:tc>
          <w:tcPr>
            <w:tcW w:w="1471" w:type="dxa"/>
            <w:shd w:val="clear" w:color="auto" w:fill="FFFFFF"/>
            <w:vAlign w:val="center"/>
          </w:tcPr>
          <w:p w:rsidR="00941A68" w:rsidRPr="00941A68" w:rsidRDefault="00FE3B52" w:rsidP="00941A68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FE3B52">
              <w:rPr>
                <w:rFonts w:eastAsia="Tahoma"/>
                <w:i/>
                <w:color w:val="000000"/>
                <w:sz w:val="22"/>
                <w:szCs w:val="22"/>
                <w:lang w:bidi="ar"/>
              </w:rPr>
              <w:t>IL</w:t>
            </w:r>
            <w:r w:rsidR="00941A68" w:rsidRPr="00FE3B52">
              <w:rPr>
                <w:rFonts w:eastAsia="Tahoma"/>
                <w:i/>
                <w:color w:val="000000"/>
                <w:sz w:val="22"/>
                <w:szCs w:val="22"/>
                <w:lang w:bidi="ar"/>
              </w:rPr>
              <w:t>29</w:t>
            </w:r>
            <w:r w:rsidR="00941A68" w:rsidRPr="00941A68">
              <w:rPr>
                <w:rFonts w:eastAsia="Tahoma"/>
                <w:color w:val="000000"/>
                <w:sz w:val="22"/>
                <w:szCs w:val="22"/>
                <w:lang w:bidi="ar"/>
              </w:rPr>
              <w:t>-F</w:t>
            </w:r>
          </w:p>
        </w:tc>
        <w:tc>
          <w:tcPr>
            <w:tcW w:w="4880" w:type="dxa"/>
            <w:shd w:val="clear" w:color="auto" w:fill="FFFFFF"/>
            <w:vAlign w:val="center"/>
          </w:tcPr>
          <w:p w:rsidR="00941A68" w:rsidRPr="00941A68" w:rsidRDefault="00941A68" w:rsidP="00941A68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941A68">
              <w:rPr>
                <w:rFonts w:eastAsia="Tahoma"/>
                <w:color w:val="000000"/>
                <w:sz w:val="22"/>
                <w:szCs w:val="22"/>
                <w:lang w:bidi="ar"/>
              </w:rPr>
              <w:t>5’-TCCTAGACCAGCCCCTTCA-3’</w:t>
            </w:r>
          </w:p>
        </w:tc>
      </w:tr>
      <w:tr w:rsidR="00941A68" w:rsidTr="00CE127C">
        <w:tc>
          <w:tcPr>
            <w:tcW w:w="1471" w:type="dxa"/>
            <w:shd w:val="clear" w:color="auto" w:fill="FFFFFF"/>
            <w:vAlign w:val="center"/>
          </w:tcPr>
          <w:p w:rsidR="00941A68" w:rsidRPr="00941A68" w:rsidRDefault="00FE3B52" w:rsidP="00941A68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FE3B52">
              <w:rPr>
                <w:rFonts w:eastAsia="Tahoma"/>
                <w:i/>
                <w:color w:val="000000"/>
                <w:sz w:val="22"/>
                <w:szCs w:val="22"/>
                <w:lang w:bidi="ar"/>
              </w:rPr>
              <w:t>IL</w:t>
            </w:r>
            <w:r w:rsidR="00941A68" w:rsidRPr="00FE3B52">
              <w:rPr>
                <w:rFonts w:eastAsia="Tahoma"/>
                <w:i/>
                <w:color w:val="000000"/>
                <w:sz w:val="22"/>
                <w:szCs w:val="22"/>
                <w:lang w:bidi="ar"/>
              </w:rPr>
              <w:t>29</w:t>
            </w:r>
            <w:r w:rsidR="00941A68" w:rsidRPr="00941A68">
              <w:rPr>
                <w:rFonts w:eastAsia="Tahoma"/>
                <w:color w:val="000000"/>
                <w:sz w:val="22"/>
                <w:szCs w:val="22"/>
                <w:lang w:bidi="ar"/>
              </w:rPr>
              <w:t>-R</w:t>
            </w:r>
          </w:p>
        </w:tc>
        <w:tc>
          <w:tcPr>
            <w:tcW w:w="4880" w:type="dxa"/>
            <w:shd w:val="clear" w:color="auto" w:fill="FFFFFF"/>
            <w:vAlign w:val="center"/>
          </w:tcPr>
          <w:p w:rsidR="00941A68" w:rsidRPr="00941A68" w:rsidRDefault="00941A68" w:rsidP="00941A68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941A68">
              <w:rPr>
                <w:rFonts w:eastAsia="Tahoma"/>
                <w:color w:val="000000"/>
                <w:sz w:val="22"/>
                <w:szCs w:val="22"/>
                <w:lang w:bidi="ar"/>
              </w:rPr>
              <w:t>5’-GTGGGCTGAGGCTGGATA-3'</w:t>
            </w:r>
          </w:p>
        </w:tc>
      </w:tr>
      <w:tr w:rsidR="00941A68" w:rsidTr="00CE127C">
        <w:tc>
          <w:tcPr>
            <w:tcW w:w="1471" w:type="dxa"/>
            <w:shd w:val="clear" w:color="auto" w:fill="FFFFFF"/>
            <w:vAlign w:val="center"/>
          </w:tcPr>
          <w:p w:rsidR="00941A68" w:rsidRPr="00941A68" w:rsidRDefault="00941A68" w:rsidP="00941A68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FE3B52">
              <w:rPr>
                <w:i/>
                <w:color w:val="000000"/>
                <w:sz w:val="22"/>
                <w:szCs w:val="22"/>
                <w:lang w:bidi="ar"/>
              </w:rPr>
              <w:t>β-actin</w:t>
            </w:r>
            <w:r w:rsidRPr="00941A68">
              <w:rPr>
                <w:color w:val="000000"/>
                <w:sz w:val="22"/>
                <w:szCs w:val="22"/>
                <w:lang w:bidi="ar"/>
              </w:rPr>
              <w:t>-F</w:t>
            </w:r>
          </w:p>
        </w:tc>
        <w:tc>
          <w:tcPr>
            <w:tcW w:w="4880" w:type="dxa"/>
            <w:vAlign w:val="center"/>
          </w:tcPr>
          <w:p w:rsidR="00941A68" w:rsidRPr="00941A68" w:rsidRDefault="00941A68" w:rsidP="00941A68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941A68">
              <w:rPr>
                <w:color w:val="000000"/>
                <w:sz w:val="22"/>
                <w:szCs w:val="22"/>
                <w:lang w:bidi="ar"/>
              </w:rPr>
              <w:t>5’-CTCCATCCTGGCCTCGCTGT-3’</w:t>
            </w:r>
          </w:p>
        </w:tc>
      </w:tr>
      <w:tr w:rsidR="00941A68" w:rsidTr="00CE127C">
        <w:tc>
          <w:tcPr>
            <w:tcW w:w="1471" w:type="dxa"/>
            <w:shd w:val="clear" w:color="auto" w:fill="FFFFFF"/>
            <w:vAlign w:val="center"/>
          </w:tcPr>
          <w:p w:rsidR="00941A68" w:rsidRPr="00941A68" w:rsidRDefault="00941A68" w:rsidP="00941A68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FE3B52">
              <w:rPr>
                <w:i/>
                <w:color w:val="000000"/>
                <w:sz w:val="22"/>
                <w:szCs w:val="22"/>
                <w:lang w:bidi="ar"/>
              </w:rPr>
              <w:t>β-actin</w:t>
            </w:r>
            <w:r w:rsidRPr="00941A68">
              <w:rPr>
                <w:color w:val="000000"/>
                <w:sz w:val="22"/>
                <w:szCs w:val="22"/>
                <w:lang w:bidi="ar"/>
              </w:rPr>
              <w:t>-R</w:t>
            </w:r>
          </w:p>
        </w:tc>
        <w:tc>
          <w:tcPr>
            <w:tcW w:w="4880" w:type="dxa"/>
            <w:vAlign w:val="center"/>
          </w:tcPr>
          <w:p w:rsidR="00941A68" w:rsidRPr="00941A68" w:rsidRDefault="00941A68" w:rsidP="00941A68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941A68">
              <w:rPr>
                <w:color w:val="000000"/>
                <w:sz w:val="22"/>
                <w:szCs w:val="22"/>
                <w:lang w:bidi="ar"/>
              </w:rPr>
              <w:t>5’-GCTGTCACCTTCACCGTTCC-3’</w:t>
            </w:r>
          </w:p>
        </w:tc>
      </w:tr>
    </w:tbl>
    <w:p w:rsidR="00E72793" w:rsidRDefault="00E72793"/>
    <w:p w:rsidR="00E72793" w:rsidRDefault="00E72793"/>
    <w:p w:rsidR="00E72793" w:rsidRDefault="00E72793"/>
    <w:p w:rsidR="00E72793" w:rsidRDefault="00E72793"/>
    <w:p w:rsidR="00E72793" w:rsidRDefault="00E72793"/>
    <w:p w:rsidR="00E72793" w:rsidRDefault="00E72793"/>
    <w:p w:rsidR="00E72793" w:rsidRDefault="00E72793"/>
    <w:p w:rsidR="00E72793" w:rsidRDefault="00E72793"/>
    <w:p w:rsidR="00E72793" w:rsidRDefault="00E72793"/>
    <w:p w:rsidR="00E72793" w:rsidRDefault="00E72793"/>
    <w:p w:rsidR="00E72793" w:rsidRDefault="00E72793"/>
    <w:p w:rsidR="00E72793" w:rsidRDefault="00E72793"/>
    <w:p w:rsidR="00E72793" w:rsidRDefault="00E72793">
      <w:bookmarkStart w:id="0" w:name="_GoBack"/>
      <w:bookmarkEnd w:id="0"/>
    </w:p>
    <w:p w:rsidR="00E72793" w:rsidRDefault="00E72793"/>
    <w:p w:rsidR="00E72793" w:rsidRDefault="00E72793"/>
    <w:p w:rsidR="00E72793" w:rsidRDefault="00E72793"/>
    <w:p w:rsidR="00E72793" w:rsidRDefault="00CE127C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>
        <w:t>Table S3   Solute carrier genes up-regulated by HSV-1 in PBMCs</w:t>
      </w:r>
    </w:p>
    <w:tbl>
      <w:tblPr>
        <w:tblpPr w:leftFromText="180" w:rightFromText="180" w:vertAnchor="page" w:horzAnchor="margin" w:tblpXSpec="center" w:tblpY="1981"/>
        <w:tblW w:w="7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0"/>
        <w:gridCol w:w="1980"/>
        <w:gridCol w:w="1980"/>
        <w:gridCol w:w="1980"/>
      </w:tblGrid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Gene Symbol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Mean reads in  sham-treated PBMC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s(RPKM)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Mean reads in HSV-1 treated PBMC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s(RPKM)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Fold(HSV- 1/Sham)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SLC41A2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25.71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13.68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SLC38A5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11.77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105.37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8.95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SLC1A3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14.14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7.25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SLC31A2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23.33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111.05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SLC6A12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4.31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SLC2A6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49.7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SLC15A3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57.49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184.84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SLC25A28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47.81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133.62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SLC7A11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SLC39A8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29.17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SLC1A4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6.97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16.38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SLC7A7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28.72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61.87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SLC15A4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17.47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34.37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SLC43A3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18.49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36.31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SLC7A5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11.61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SLC25A24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20.41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SLC43A2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62.66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SLC35A4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56.97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SLC3A2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59.83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107.46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SLC35F5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9.75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16.59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SLC39A1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44.35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SLCO3A1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14.73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21.61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SLC35A5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19.62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28.43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</w:tr>
      <w:tr w:rsidR="00CE127C" w:rsidRPr="00E72793" w:rsidTr="00CE127C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SLC35G6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51.77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67.44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E127C" w:rsidRPr="00E72793" w:rsidRDefault="00CE127C" w:rsidP="00CE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9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</w:tbl>
    <w:p w:rsidR="00E72793" w:rsidRDefault="00E72793"/>
    <w:p w:rsidR="00E72793" w:rsidRDefault="00E72793"/>
    <w:p w:rsidR="00E72793" w:rsidRDefault="00E72793"/>
    <w:p w:rsidR="00E72793" w:rsidRDefault="00E72793"/>
    <w:p w:rsidR="00E72793" w:rsidRDefault="00E7279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</w:t>
      </w: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CE127C" w:rsidRDefault="00CE127C">
      <w:pPr>
        <w:rPr>
          <w:rFonts w:ascii="Times New Roman" w:hAnsi="Times New Roman" w:cs="Times New Roman"/>
          <w:sz w:val="24"/>
          <w:szCs w:val="24"/>
        </w:rPr>
      </w:pPr>
    </w:p>
    <w:p w:rsidR="00681BEB" w:rsidRDefault="00681B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B45A4" w:rsidTr="00A500D9">
        <w:tc>
          <w:tcPr>
            <w:tcW w:w="9350" w:type="dxa"/>
          </w:tcPr>
          <w:p w:rsidR="003B45A4" w:rsidRDefault="00CE79C5">
            <w:pPr>
              <w:rPr>
                <w:sz w:val="24"/>
                <w:szCs w:val="24"/>
              </w:rPr>
            </w:pPr>
            <w:r w:rsidRPr="00CE79C5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63B32" wp14:editId="2CF9C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465827" cy="276999"/>
                      <wp:effectExtent l="0" t="0" r="0" b="0"/>
                      <wp:wrapNone/>
                      <wp:docPr id="6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827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E79C5" w:rsidRDefault="00CE79C5" w:rsidP="00CE79C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663B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" o:spid="_x0000_s1026" type="#_x0000_t202" style="position:absolute;left:0;text-align:left;margin-left:0;margin-top:.2pt;width:36.7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" filled="f" stroked="f">
                      <v:textbox style="mso-fit-shape-to-text:t">
                        <w:txbxContent>
                          <w:p w:rsidR="00CE79C5" w:rsidRDefault="00CE79C5" w:rsidP="00CE79C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79C5" w:rsidRDefault="00CE79C5">
            <w:pPr>
              <w:rPr>
                <w:sz w:val="24"/>
                <w:szCs w:val="24"/>
              </w:rPr>
            </w:pPr>
            <w:r w:rsidRPr="00CE79C5">
              <w:rPr>
                <w:noProof/>
                <w:sz w:val="24"/>
                <w:szCs w:val="24"/>
              </w:rPr>
              <w:drawing>
                <wp:inline distT="0" distB="0" distL="0" distR="0" wp14:anchorId="30810279" wp14:editId="5E98DA1E">
                  <wp:extent cx="4934712" cy="2703576"/>
                  <wp:effectExtent l="0" t="0" r="0" b="190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712" cy="270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79C5" w:rsidRDefault="00DA3B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580888" cy="3206496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nocytes-SLC15A4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888" cy="320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5A4" w:rsidTr="00A500D9">
        <w:tc>
          <w:tcPr>
            <w:tcW w:w="9350" w:type="dxa"/>
          </w:tcPr>
          <w:p w:rsidR="003B45A4" w:rsidRPr="00CE79C5" w:rsidRDefault="00CE7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Figure S1.  </w:t>
            </w:r>
            <w:r w:rsidRPr="00CE79C5">
              <w:rPr>
                <w:i/>
                <w:sz w:val="24"/>
                <w:szCs w:val="24"/>
              </w:rPr>
              <w:t>SLC15A4</w:t>
            </w:r>
            <w:r>
              <w:rPr>
                <w:sz w:val="24"/>
                <w:szCs w:val="24"/>
              </w:rPr>
              <w:t xml:space="preserve"> gene expression in SLC15A3 silenced cells.   (A) </w:t>
            </w:r>
            <w:r w:rsidRPr="00CE79C5">
              <w:rPr>
                <w:i/>
                <w:sz w:val="24"/>
                <w:szCs w:val="24"/>
              </w:rPr>
              <w:t>SLC15A4</w:t>
            </w:r>
            <w:r>
              <w:rPr>
                <w:sz w:val="24"/>
                <w:szCs w:val="24"/>
              </w:rPr>
              <w:t xml:space="preserve"> mRNA in 293T cells with indicated siRNA and treatment was evaluated by </w:t>
            </w:r>
            <w:proofErr w:type="spellStart"/>
            <w:r>
              <w:rPr>
                <w:sz w:val="24"/>
                <w:szCs w:val="24"/>
              </w:rPr>
              <w:t>qRT</w:t>
            </w:r>
            <w:proofErr w:type="spellEnd"/>
            <w:r>
              <w:rPr>
                <w:sz w:val="24"/>
                <w:szCs w:val="24"/>
              </w:rPr>
              <w:t xml:space="preserve">-PCR; (B) </w:t>
            </w:r>
            <w:r w:rsidRPr="00CE79C5">
              <w:rPr>
                <w:i/>
                <w:sz w:val="24"/>
                <w:szCs w:val="24"/>
              </w:rPr>
              <w:t>SLC15A4</w:t>
            </w:r>
            <w:r>
              <w:rPr>
                <w:sz w:val="24"/>
                <w:szCs w:val="24"/>
              </w:rPr>
              <w:t xml:space="preserve"> in human monocytes with indicated siRNA and treatment was evaluated by </w:t>
            </w:r>
            <w:proofErr w:type="spellStart"/>
            <w:r>
              <w:rPr>
                <w:sz w:val="24"/>
                <w:szCs w:val="24"/>
              </w:rPr>
              <w:t>qRT</w:t>
            </w:r>
            <w:proofErr w:type="spellEnd"/>
            <w:r>
              <w:rPr>
                <w:sz w:val="24"/>
                <w:szCs w:val="24"/>
              </w:rPr>
              <w:t xml:space="preserve">-PCR. </w:t>
            </w:r>
            <w:r w:rsidR="00DA3B07">
              <w:rPr>
                <w:sz w:val="24"/>
                <w:szCs w:val="24"/>
              </w:rPr>
              <w:t xml:space="preserve">Data are representative of three experiments with similar results (mean ± </w:t>
            </w:r>
            <w:proofErr w:type="spellStart"/>
            <w:r w:rsidR="00DA3B07">
              <w:rPr>
                <w:sz w:val="24"/>
                <w:szCs w:val="24"/>
              </w:rPr>
              <w:t>s.d.</w:t>
            </w:r>
            <w:proofErr w:type="spellEnd"/>
            <w:r w:rsidR="00DA3B07">
              <w:rPr>
                <w:sz w:val="24"/>
                <w:szCs w:val="24"/>
              </w:rPr>
              <w:t>)</w:t>
            </w:r>
          </w:p>
        </w:tc>
      </w:tr>
    </w:tbl>
    <w:p w:rsidR="003B45A4" w:rsidRPr="00CE127C" w:rsidRDefault="003B45A4">
      <w:pPr>
        <w:rPr>
          <w:rFonts w:ascii="Times New Roman" w:hAnsi="Times New Roman" w:cs="Times New Roman"/>
          <w:sz w:val="24"/>
          <w:szCs w:val="24"/>
        </w:rPr>
      </w:pPr>
    </w:p>
    <w:sectPr w:rsidR="003B45A4" w:rsidRPr="00CE127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A3" w:rsidRDefault="004742A3" w:rsidP="00E72793">
      <w:pPr>
        <w:spacing w:after="0" w:line="240" w:lineRule="auto"/>
      </w:pPr>
      <w:r>
        <w:separator/>
      </w:r>
    </w:p>
  </w:endnote>
  <w:endnote w:type="continuationSeparator" w:id="0">
    <w:p w:rsidR="004742A3" w:rsidRDefault="004742A3" w:rsidP="00E7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93" w:rsidRDefault="00E72793">
    <w:pPr>
      <w:pStyle w:val="Footer"/>
    </w:pPr>
  </w:p>
  <w:p w:rsidR="00E72793" w:rsidRDefault="00E72793">
    <w:pPr>
      <w:pStyle w:val="Footer"/>
    </w:pPr>
  </w:p>
  <w:p w:rsidR="00E72793" w:rsidRDefault="00E72793">
    <w:pPr>
      <w:pStyle w:val="Footer"/>
    </w:pPr>
  </w:p>
  <w:p w:rsidR="00E72793" w:rsidRDefault="00E72793">
    <w:pPr>
      <w:pStyle w:val="Footer"/>
    </w:pPr>
  </w:p>
  <w:p w:rsidR="00E72793" w:rsidRDefault="00E72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A3" w:rsidRDefault="004742A3" w:rsidP="00E72793">
      <w:pPr>
        <w:spacing w:after="0" w:line="240" w:lineRule="auto"/>
      </w:pPr>
      <w:r>
        <w:separator/>
      </w:r>
    </w:p>
  </w:footnote>
  <w:footnote w:type="continuationSeparator" w:id="0">
    <w:p w:rsidR="004742A3" w:rsidRDefault="004742A3" w:rsidP="00E72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93"/>
    <w:rsid w:val="0013488C"/>
    <w:rsid w:val="003B45A4"/>
    <w:rsid w:val="004742A3"/>
    <w:rsid w:val="00492930"/>
    <w:rsid w:val="00594417"/>
    <w:rsid w:val="00681BEB"/>
    <w:rsid w:val="006C2193"/>
    <w:rsid w:val="006E0602"/>
    <w:rsid w:val="007D2E69"/>
    <w:rsid w:val="00865526"/>
    <w:rsid w:val="00941A68"/>
    <w:rsid w:val="00A500D9"/>
    <w:rsid w:val="00C926BC"/>
    <w:rsid w:val="00CE04F6"/>
    <w:rsid w:val="00CE127C"/>
    <w:rsid w:val="00CE79C5"/>
    <w:rsid w:val="00DA3B07"/>
    <w:rsid w:val="00E72793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D1816-7F6D-44C5-A8DE-6AB0A262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7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793"/>
  </w:style>
  <w:style w:type="paragraph" w:styleId="Footer">
    <w:name w:val="footer"/>
    <w:basedOn w:val="Normal"/>
    <w:link w:val="FooterChar"/>
    <w:uiPriority w:val="99"/>
    <w:unhideWhenUsed/>
    <w:rsid w:val="00E7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793"/>
  </w:style>
  <w:style w:type="table" w:styleId="TableGrid">
    <w:name w:val="Table Grid"/>
    <w:basedOn w:val="TableNormal"/>
    <w:rsid w:val="00E72793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Bin, Lianghua</dc:creator>
  <cp:keywords/>
  <dc:description/>
  <cp:lastModifiedBy>Bin, Lianghua</cp:lastModifiedBy>
  <cp:revision>4</cp:revision>
  <dcterms:created xsi:type="dcterms:W3CDTF">2018-05-24T06:38:00Z</dcterms:created>
  <dcterms:modified xsi:type="dcterms:W3CDTF">2018-05-24T06:41:00Z</dcterms:modified>
</cp:coreProperties>
</file>