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6F" w:rsidRDefault="0013426F" w:rsidP="0013426F">
      <w:pPr>
        <w:spacing w:line="480" w:lineRule="auto"/>
        <w:rPr>
          <w:rFonts w:ascii="Times New Roman" w:hAnsi="Times New Roman" w:cs="Times New Roman"/>
          <w:b/>
          <w:sz w:val="22"/>
        </w:rPr>
      </w:pPr>
      <w:r>
        <w:rPr>
          <w:rFonts w:ascii="Times New Roman" w:hAnsi="Times New Roman" w:cs="Times New Roman"/>
          <w:b/>
          <w:sz w:val="22"/>
        </w:rPr>
        <w:t>Supplements</w:t>
      </w:r>
    </w:p>
    <w:p w:rsidR="0013426F" w:rsidRDefault="0013426F" w:rsidP="0013426F">
      <w:pPr>
        <w:spacing w:line="480" w:lineRule="auto"/>
        <w:rPr>
          <w:rFonts w:ascii="Times New Roman" w:hAnsi="Times New Roman" w:cs="Times New Roman"/>
          <w:sz w:val="22"/>
        </w:rPr>
      </w:pPr>
      <w:r w:rsidRPr="00ED4587">
        <w:rPr>
          <w:rFonts w:ascii="Times New Roman" w:hAnsi="Times New Roman" w:cs="Times New Roman"/>
          <w:sz w:val="22"/>
        </w:rPr>
        <w:t>S1</w:t>
      </w:r>
    </w:p>
    <w:p w:rsidR="0013426F" w:rsidRDefault="0013426F" w:rsidP="0013426F">
      <w:pPr>
        <w:spacing w:line="480" w:lineRule="auto"/>
        <w:rPr>
          <w:rFonts w:ascii="Times New Roman" w:hAnsi="Times New Roman" w:cs="Times New Roman"/>
          <w:sz w:val="22"/>
        </w:rPr>
      </w:pPr>
      <w:r>
        <w:rPr>
          <w:rFonts w:ascii="Times New Roman" w:hAnsi="Times New Roman" w:cs="Times New Roman"/>
          <w:noProof/>
          <w:sz w:val="22"/>
          <w:lang w:eastAsia="en-GB"/>
        </w:rPr>
        <w:drawing>
          <wp:inline distT="0" distB="0" distL="0" distR="0" wp14:anchorId="49358C39" wp14:editId="26513A2E">
            <wp:extent cx="5731510" cy="36366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SORT.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636645"/>
                    </a:xfrm>
                    <a:prstGeom prst="rect">
                      <a:avLst/>
                    </a:prstGeom>
                  </pic:spPr>
                </pic:pic>
              </a:graphicData>
            </a:graphic>
          </wp:inline>
        </w:drawing>
      </w:r>
    </w:p>
    <w:p w:rsidR="0013426F" w:rsidRDefault="0013426F" w:rsidP="0013426F">
      <w:pPr>
        <w:spacing w:line="480" w:lineRule="auto"/>
        <w:rPr>
          <w:rFonts w:ascii="Times New Roman" w:hAnsi="Times New Roman" w:cs="Times New Roman"/>
          <w:sz w:val="22"/>
        </w:rPr>
      </w:pPr>
      <w:r>
        <w:rPr>
          <w:rFonts w:ascii="Times New Roman" w:hAnsi="Times New Roman" w:cs="Times New Roman"/>
          <w:sz w:val="22"/>
        </w:rPr>
        <w:t>CONSORT flow diagram.</w:t>
      </w:r>
    </w:p>
    <w:p w:rsidR="0013426F" w:rsidRDefault="0013426F" w:rsidP="0013426F">
      <w:pPr>
        <w:rPr>
          <w:rFonts w:ascii="Times New Roman" w:hAnsi="Times New Roman" w:cs="Times New Roman"/>
          <w:sz w:val="22"/>
        </w:rPr>
      </w:pPr>
      <w:r>
        <w:rPr>
          <w:rFonts w:ascii="Times New Roman" w:hAnsi="Times New Roman" w:cs="Times New Roman"/>
          <w:sz w:val="22"/>
        </w:rPr>
        <w:br w:type="page"/>
      </w:r>
    </w:p>
    <w:p w:rsidR="0013426F" w:rsidRDefault="00C80CAA" w:rsidP="0013426F">
      <w:pPr>
        <w:spacing w:line="480" w:lineRule="auto"/>
        <w:rPr>
          <w:rFonts w:ascii="Times New Roman" w:hAnsi="Times New Roman" w:cs="Times New Roman"/>
          <w:sz w:val="22"/>
        </w:rPr>
      </w:pPr>
      <w:r>
        <w:rPr>
          <w:rFonts w:ascii="Times New Roman" w:hAnsi="Times New Roman" w:cs="Times New Roman"/>
          <w:sz w:val="22"/>
        </w:rPr>
        <w:lastRenderedPageBreak/>
        <w:t>S2</w:t>
      </w:r>
    </w:p>
    <w:p w:rsidR="0013426F" w:rsidRDefault="0013426F" w:rsidP="0013426F">
      <w:pPr>
        <w:spacing w:line="480" w:lineRule="auto"/>
        <w:rPr>
          <w:rFonts w:ascii="Times New Roman" w:hAnsi="Times New Roman" w:cs="Times New Roman"/>
          <w:sz w:val="22"/>
        </w:rPr>
      </w:pPr>
      <w:r>
        <w:rPr>
          <w:rFonts w:ascii="Times New Roman" w:hAnsi="Times New Roman" w:cs="Times New Roman"/>
          <w:noProof/>
          <w:sz w:val="22"/>
          <w:lang w:eastAsia="en-GB"/>
        </w:rPr>
        <w:drawing>
          <wp:inline distT="0" distB="0" distL="0" distR="0" wp14:anchorId="1531B787" wp14:editId="2F5A6E17">
            <wp:extent cx="5335074" cy="7861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6891" cy="7864613"/>
                    </a:xfrm>
                    <a:prstGeom prst="rect">
                      <a:avLst/>
                    </a:prstGeom>
                  </pic:spPr>
                </pic:pic>
              </a:graphicData>
            </a:graphic>
          </wp:inline>
        </w:drawing>
      </w:r>
    </w:p>
    <w:p w:rsidR="0013426F" w:rsidRPr="00ED4587" w:rsidRDefault="0013426F" w:rsidP="0013426F">
      <w:pPr>
        <w:spacing w:line="480" w:lineRule="auto"/>
        <w:rPr>
          <w:rFonts w:ascii="Times New Roman" w:hAnsi="Times New Roman" w:cs="Times New Roman"/>
          <w:sz w:val="22"/>
        </w:rPr>
      </w:pPr>
      <w:r>
        <w:rPr>
          <w:rFonts w:ascii="Times New Roman" w:hAnsi="Times New Roman" w:cs="Times New Roman"/>
          <w:sz w:val="22"/>
        </w:rPr>
        <w:lastRenderedPageBreak/>
        <w:t>Q-Q plots of free recall performances in young and elderly participants split according to session. Despite ceiling effects in later recalls (R3 and DR1 in particular) in young participants, no considerable deviation from normal distribution.</w:t>
      </w:r>
    </w:p>
    <w:p w:rsidR="00C80CAA" w:rsidRDefault="00C80CAA">
      <w:r>
        <w:br w:type="page"/>
      </w:r>
    </w:p>
    <w:p w:rsidR="00C80CAA" w:rsidRDefault="00C80CAA" w:rsidP="00C80CAA">
      <w:pPr>
        <w:spacing w:line="480" w:lineRule="auto"/>
        <w:rPr>
          <w:rFonts w:ascii="Times New Roman" w:hAnsi="Times New Roman" w:cs="Times New Roman"/>
          <w:sz w:val="22"/>
        </w:rPr>
      </w:pPr>
      <w:r>
        <w:rPr>
          <w:rFonts w:ascii="Times New Roman" w:hAnsi="Times New Roman" w:cs="Times New Roman"/>
          <w:sz w:val="22"/>
        </w:rPr>
        <w:lastRenderedPageBreak/>
        <w:t>S3</w:t>
      </w:r>
      <w:bookmarkStart w:id="0" w:name="_GoBack"/>
      <w:bookmarkEnd w:id="0"/>
    </w:p>
    <w:tbl>
      <w:tblPr>
        <w:tblStyle w:val="TableGrid"/>
        <w:tblW w:w="0" w:type="auto"/>
        <w:tblLook w:val="04A0" w:firstRow="1" w:lastRow="0" w:firstColumn="1" w:lastColumn="0" w:noHBand="0" w:noVBand="1"/>
      </w:tblPr>
      <w:tblGrid>
        <w:gridCol w:w="1577"/>
        <w:gridCol w:w="1261"/>
        <w:gridCol w:w="1225"/>
        <w:gridCol w:w="1264"/>
        <w:gridCol w:w="1225"/>
        <w:gridCol w:w="1239"/>
        <w:gridCol w:w="1225"/>
      </w:tblGrid>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Side effects</w:t>
            </w:r>
          </w:p>
        </w:tc>
        <w:tc>
          <w:tcPr>
            <w:tcW w:w="2486" w:type="dxa"/>
            <w:gridSpan w:val="2"/>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young (n = 33)</w:t>
            </w:r>
          </w:p>
        </w:tc>
        <w:tc>
          <w:tcPr>
            <w:tcW w:w="2489" w:type="dxa"/>
            <w:gridSpan w:val="2"/>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elderly (n = 22)</w:t>
            </w:r>
          </w:p>
        </w:tc>
        <w:tc>
          <w:tcPr>
            <w:tcW w:w="2464" w:type="dxa"/>
            <w:gridSpan w:val="2"/>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all (n = 55)</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sham</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 xml:space="preserve">real tDCS </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sham</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real tDCS</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sham</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real tDCS</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Headache</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1.38 ± 0.66</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1.40 ± 0.80</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1.19 ± 0.51</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1.10 ± 0.30</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1.30 ± 0.61</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1.28 ± 0.66</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Neck pain</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1.22 ± 0.66</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1.28 ± 0.63</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1.10 ± 0.30</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1.05 ± 0.22</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1.17 ± 0.55</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1.19 ± 0.52</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Scalp pain</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1.09 ± 0.30</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1.59 ± 0.95</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1.05 ± 0.22</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1.14 ± 0.48</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1.08 ± 0.27</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1.42 ± 0.82</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Tingling</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2.13 ± 0.94</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2.15 ± 0.85</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1.48 ± 0.60</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1.43 ± 0.75</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1.87 ± 0.88</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1.87 ± 0.88</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Itching</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1.47 ± 0.92</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1.88 ± 1.16</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1.24 ± 0.77</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1.33 ± 0.58</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1.38 ± 0.86</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1.66 ± 1.00</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Burning</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1.59 ± 0.95</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1.69 ± 0.86</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1.00 ± 0.00</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1.10 ± 0.30</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1.36 ± 0.79</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1.45 ± 0.75</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Sleepiness</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2.03 ± 1.18</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2.03 ± 0.97</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1.67 ± 0.86</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1.48 ± 0.75</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1.89 ± 1.07</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1.81 ± 0.92</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Concentration problems</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1.41 ± 0.84</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1.34  ± 0.75</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1.33 ± 0.48</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1.48 ± 0.68</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1.38 ± 0.71</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1.40 ± 0.72</w:t>
            </w:r>
          </w:p>
        </w:tc>
      </w:tr>
      <w:tr w:rsidR="00C80CAA" w:rsidRPr="00550115" w:rsidTr="00154A1E">
        <w:tc>
          <w:tcPr>
            <w:tcW w:w="1577"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Skin redness</w:t>
            </w:r>
          </w:p>
        </w:tc>
        <w:tc>
          <w:tcPr>
            <w:tcW w:w="1261"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1.03 ± 0.18</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1.13 ± 0.42</w:t>
            </w:r>
          </w:p>
        </w:tc>
        <w:tc>
          <w:tcPr>
            <w:tcW w:w="1264"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1.00 ± 0.00</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1.05 ± 0.22</w:t>
            </w:r>
          </w:p>
        </w:tc>
        <w:tc>
          <w:tcPr>
            <w:tcW w:w="1239"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1.02 ± 0.14</w:t>
            </w:r>
          </w:p>
        </w:tc>
        <w:tc>
          <w:tcPr>
            <w:tcW w:w="1225" w:type="dxa"/>
          </w:tcPr>
          <w:p w:rsidR="00C80CAA" w:rsidRPr="00550115" w:rsidRDefault="00C80CAA" w:rsidP="00154A1E">
            <w:pPr>
              <w:rPr>
                <w:rFonts w:ascii="Times New Roman" w:hAnsi="Times New Roman" w:cs="Times New Roman"/>
                <w:sz w:val="22"/>
                <w:shd w:val="clear" w:color="auto" w:fill="FFFFFF"/>
              </w:rPr>
            </w:pPr>
            <w:r w:rsidRPr="00550115">
              <w:rPr>
                <w:rFonts w:ascii="Times New Roman" w:hAnsi="Times New Roman" w:cs="Times New Roman"/>
                <w:sz w:val="22"/>
                <w:shd w:val="clear" w:color="auto" w:fill="FFFFFF"/>
              </w:rPr>
              <w:t>1.09 ± 0.35</w:t>
            </w:r>
          </w:p>
        </w:tc>
      </w:tr>
    </w:tbl>
    <w:p w:rsidR="00C80CAA" w:rsidRDefault="00C80CAA" w:rsidP="00C80CAA">
      <w:pPr>
        <w:spacing w:line="480" w:lineRule="auto"/>
        <w:rPr>
          <w:rFonts w:ascii="Times New Roman" w:hAnsi="Times New Roman" w:cs="Times New Roman"/>
          <w:sz w:val="22"/>
        </w:rPr>
      </w:pPr>
    </w:p>
    <w:p w:rsidR="00C80CAA" w:rsidRDefault="00C80CAA" w:rsidP="00C80CAA">
      <w:pPr>
        <w:spacing w:line="480" w:lineRule="auto"/>
        <w:rPr>
          <w:rFonts w:ascii="Times New Roman" w:hAnsi="Times New Roman" w:cs="Times New Roman"/>
          <w:sz w:val="22"/>
        </w:rPr>
      </w:pPr>
      <w:r>
        <w:rPr>
          <w:rFonts w:ascii="Times New Roman" w:hAnsi="Times New Roman" w:cs="Times New Roman"/>
          <w:sz w:val="22"/>
        </w:rPr>
        <w:t xml:space="preserve">Overview of perceived side effects [mean ± SD] per stimulation condition, following procedure by </w:t>
      </w:r>
      <w:r>
        <w:rPr>
          <w:rFonts w:ascii="Times New Roman" w:hAnsi="Times New Roman" w:cs="Times New Roman"/>
          <w:sz w:val="22"/>
        </w:rPr>
        <w:fldChar w:fldCharType="begin"/>
      </w:r>
      <w:r>
        <w:rPr>
          <w:rFonts w:ascii="Times New Roman" w:hAnsi="Times New Roman" w:cs="Times New Roman"/>
          <w:sz w:val="22"/>
        </w:rPr>
        <w:instrText xml:space="preserve"> ADDIN ZOTERO_ITEM CSL_CITATION {"citationID":"GVzjyaHz","properties":{"formattedCitation":"[38]","plainCitation":"[38]","noteIndex":0},"citationItems":[{"id":2573,"uris":["http://zotero.org/users/local/oMXy1224/items/FPTDRWFK"],"uri":["http://zotero.org/users/local/oMXy1224/items/FPTDRWFK"],"itemData":{"id":2573,"type":"article-journal","title":"A systematic review on reporting and assessment of adverse effects associated with transcranial direct current stimulation","container-title":"The International Journal of Neuropsychopharmacology","page":"1133-1145","volume":"14","issue":"08","source":"CrossRef","DOI":"10.1017/S1461145710001690","ISSN":"1461-1457, 1469-5111","language":"en","author":[{"family":"Brunoni","given":"Andre Russowsky"},{"family":"Amadera","given":"Joao"},{"family":"Berbel","given":"Bruna"},{"family":"Volz","given":"Magdalena Sarah"},{"family":"Rizzerio","given":"Brenno Gomes"},{"family":"Fregni","given":"Felipe"}],"issued":{"date-parts":[["2011",9]]}}}],"schema":"https://github.com/citation-style-language/schema/raw/master/csl-citation.json"} </w:instrText>
      </w:r>
      <w:r>
        <w:rPr>
          <w:rFonts w:ascii="Times New Roman" w:hAnsi="Times New Roman" w:cs="Times New Roman"/>
          <w:sz w:val="22"/>
        </w:rPr>
        <w:fldChar w:fldCharType="separate"/>
      </w:r>
      <w:r w:rsidRPr="008D261F">
        <w:rPr>
          <w:rFonts w:ascii="Times New Roman" w:hAnsi="Times New Roman" w:cs="Times New Roman"/>
          <w:sz w:val="22"/>
        </w:rPr>
        <w:t>[38]</w:t>
      </w:r>
      <w:r>
        <w:rPr>
          <w:rFonts w:ascii="Times New Roman" w:hAnsi="Times New Roman" w:cs="Times New Roman"/>
          <w:sz w:val="22"/>
        </w:rPr>
        <w:fldChar w:fldCharType="end"/>
      </w:r>
      <w:r>
        <w:rPr>
          <w:rFonts w:ascii="Times New Roman" w:hAnsi="Times New Roman" w:cs="Times New Roman"/>
          <w:sz w:val="22"/>
        </w:rPr>
        <w:t>. Rating scale from 1 (not present) to 4 (severe).</w:t>
      </w:r>
    </w:p>
    <w:p w:rsidR="00945741" w:rsidRDefault="00945741"/>
    <w:sectPr w:rsidR="00945741" w:rsidSect="00273CD4">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9B" w:rsidRDefault="0087379B">
      <w:pPr>
        <w:spacing w:after="0" w:line="240" w:lineRule="auto"/>
      </w:pPr>
      <w:r>
        <w:separator/>
      </w:r>
    </w:p>
  </w:endnote>
  <w:endnote w:type="continuationSeparator" w:id="0">
    <w:p w:rsidR="0087379B" w:rsidRDefault="0087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38191"/>
      <w:docPartObj>
        <w:docPartGallery w:val="Page Numbers (Bottom of Page)"/>
        <w:docPartUnique/>
      </w:docPartObj>
    </w:sdtPr>
    <w:sdtEndPr>
      <w:rPr>
        <w:noProof/>
      </w:rPr>
    </w:sdtEndPr>
    <w:sdtContent>
      <w:p w:rsidR="004E33CB" w:rsidRDefault="00167779">
        <w:pPr>
          <w:pStyle w:val="Footer"/>
          <w:jc w:val="center"/>
        </w:pPr>
        <w:r>
          <w:fldChar w:fldCharType="begin"/>
        </w:r>
        <w:r>
          <w:instrText xml:space="preserve"> PAGE   \* MERGEFORMAT </w:instrText>
        </w:r>
        <w:r>
          <w:fldChar w:fldCharType="separate"/>
        </w:r>
        <w:r w:rsidR="00C80CAA">
          <w:rPr>
            <w:noProof/>
          </w:rPr>
          <w:t>4</w:t>
        </w:r>
        <w:r>
          <w:rPr>
            <w:noProof/>
          </w:rPr>
          <w:fldChar w:fldCharType="end"/>
        </w:r>
      </w:p>
    </w:sdtContent>
  </w:sdt>
  <w:p w:rsidR="004E33CB" w:rsidRDefault="0087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9B" w:rsidRDefault="0087379B">
      <w:pPr>
        <w:spacing w:after="0" w:line="240" w:lineRule="auto"/>
      </w:pPr>
      <w:r>
        <w:separator/>
      </w:r>
    </w:p>
  </w:footnote>
  <w:footnote w:type="continuationSeparator" w:id="0">
    <w:p w:rsidR="0087379B" w:rsidRDefault="0087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6F"/>
    <w:rsid w:val="0013426F"/>
    <w:rsid w:val="00167779"/>
    <w:rsid w:val="00550115"/>
    <w:rsid w:val="0087379B"/>
    <w:rsid w:val="00945741"/>
    <w:rsid w:val="009B2429"/>
    <w:rsid w:val="00C80CAA"/>
    <w:rsid w:val="00D0009B"/>
    <w:rsid w:val="00ED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9732"/>
  <w15:chartTrackingRefBased/>
  <w15:docId w15:val="{D1548378-CE71-4E2A-967E-E05E1A96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4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26F"/>
  </w:style>
  <w:style w:type="character" w:styleId="LineNumber">
    <w:name w:val="line number"/>
    <w:basedOn w:val="DefaultParagraphFont"/>
    <w:uiPriority w:val="99"/>
    <w:semiHidden/>
    <w:unhideWhenUsed/>
    <w:rsid w:val="0013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Habich, Annegret (UPD)</dc:creator>
  <cp:keywords/>
  <dc:description/>
  <cp:lastModifiedBy>Habich, Annegret (UPD)</cp:lastModifiedBy>
  <cp:revision>5</cp:revision>
  <dcterms:created xsi:type="dcterms:W3CDTF">2020-08-13T15:10:00Z</dcterms:created>
  <dcterms:modified xsi:type="dcterms:W3CDTF">2020-08-14T09:18:00Z</dcterms:modified>
</cp:coreProperties>
</file>