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4" w:rsidRDefault="009E1004" w:rsidP="00284C66">
      <w:pPr>
        <w:pStyle w:val="Default"/>
        <w:spacing w:before="240" w:line="360" w:lineRule="auto"/>
        <w:ind w:left="142"/>
        <w:jc w:val="both"/>
        <w:rPr>
          <w:lang w:val="en-US"/>
        </w:rPr>
      </w:pPr>
      <w:r w:rsidRPr="009E1004">
        <w:rPr>
          <w:lang w:val="en-US"/>
        </w:rPr>
        <w:t>SUPPORTING INFORMATION</w:t>
      </w:r>
    </w:p>
    <w:p w:rsidR="009E1004" w:rsidRPr="009E1004" w:rsidRDefault="009E1004" w:rsidP="00284C66">
      <w:pPr>
        <w:pStyle w:val="Default"/>
        <w:spacing w:before="240" w:line="360" w:lineRule="auto"/>
        <w:ind w:left="142"/>
        <w:jc w:val="both"/>
        <w:rPr>
          <w:lang w:val="en-US"/>
        </w:rPr>
      </w:pPr>
    </w:p>
    <w:p w:rsidR="00276B7A" w:rsidRPr="00276B7A" w:rsidRDefault="00276B7A" w:rsidP="00276B7A">
      <w:pPr>
        <w:pStyle w:val="Default"/>
        <w:spacing w:before="240" w:line="360" w:lineRule="auto"/>
        <w:ind w:left="142"/>
        <w:jc w:val="both"/>
        <w:rPr>
          <w:rFonts w:ascii="Times New Roman" w:eastAsia="Times New Roman" w:hAnsi="Times New Roman"/>
          <w:b/>
          <w:sz w:val="32"/>
          <w:lang w:val="en-US" w:eastAsia="ar-SA"/>
        </w:rPr>
      </w:pPr>
      <w:r w:rsidRPr="00276B7A">
        <w:rPr>
          <w:rFonts w:ascii="Times New Roman" w:eastAsia="Times New Roman" w:hAnsi="Times New Roman"/>
          <w:b/>
          <w:sz w:val="32"/>
          <w:lang w:val="en-US" w:eastAsia="ar-SA"/>
        </w:rPr>
        <w:t xml:space="preserve">Circulating </w:t>
      </w:r>
      <w:r w:rsidRPr="00276B7A">
        <w:rPr>
          <w:rFonts w:ascii="Times New Roman" w:eastAsia="Times New Roman" w:hAnsi="Times New Roman"/>
          <w:b/>
          <w:bCs/>
          <w:sz w:val="32"/>
          <w:lang w:val="en-US" w:eastAsia="ar-SA"/>
        </w:rPr>
        <w:t>heme oxygenase-1</w:t>
      </w:r>
      <w:r w:rsidRPr="00276B7A">
        <w:rPr>
          <w:rFonts w:ascii="Times New Roman" w:eastAsia="Times New Roman" w:hAnsi="Times New Roman"/>
          <w:b/>
          <w:sz w:val="32"/>
          <w:lang w:val="en-US" w:eastAsia="ar-SA"/>
        </w:rPr>
        <w:t>: not a predictor of preeclampsia, but highly expressed in pregnant women who subsequently develop severe preeclampsia</w:t>
      </w:r>
    </w:p>
    <w:p w:rsidR="00276B7A" w:rsidRPr="00276B7A" w:rsidRDefault="00276B7A" w:rsidP="00276B7A">
      <w:pPr>
        <w:pStyle w:val="Default"/>
        <w:spacing w:before="240" w:line="276" w:lineRule="auto"/>
        <w:ind w:left="142"/>
        <w:rPr>
          <w:rFonts w:ascii="Times New Roman" w:eastAsia="Times New Roman" w:hAnsi="Times New Roman"/>
          <w:lang w:eastAsia="ar-SA"/>
        </w:rPr>
      </w:pPr>
      <w:r w:rsidRPr="00276B7A">
        <w:rPr>
          <w:rFonts w:ascii="Times New Roman" w:eastAsia="Times New Roman" w:hAnsi="Times New Roman"/>
          <w:lang w:eastAsia="ar-SA"/>
        </w:rPr>
        <w:t>Valéria C. SANDRIM</w:t>
      </w:r>
      <w:r w:rsidRPr="00276B7A">
        <w:rPr>
          <w:rFonts w:ascii="Times New Roman" w:eastAsia="Times New Roman" w:hAnsi="Times New Roman"/>
          <w:vertAlign w:val="superscript"/>
          <w:lang w:eastAsia="ar-SA"/>
        </w:rPr>
        <w:t>1</w:t>
      </w:r>
      <w:r w:rsidRPr="00276B7A">
        <w:rPr>
          <w:rFonts w:ascii="Times New Roman" w:eastAsia="Times New Roman" w:hAnsi="Times New Roman"/>
          <w:vertAlign w:val="superscript"/>
          <w:lang w:eastAsia="ar-SA"/>
        </w:rPr>
        <w:t>,2</w:t>
      </w:r>
      <w:r w:rsidRPr="00276B7A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276B7A">
        <w:rPr>
          <w:rFonts w:ascii="Times New Roman" w:eastAsia="Times New Roman" w:hAnsi="Times New Roman"/>
          <w:lang w:eastAsia="ar-SA"/>
        </w:rPr>
        <w:t xml:space="preserve">, </w:t>
      </w:r>
      <w:r w:rsidRPr="00276B7A">
        <w:rPr>
          <w:rFonts w:ascii="Times New Roman" w:eastAsia="Times New Roman" w:hAnsi="Times New Roman"/>
          <w:lang w:eastAsia="ar-SA"/>
        </w:rPr>
        <w:t>Mayara CALDEIRA-DIAS</w:t>
      </w:r>
      <w:r w:rsidRPr="00276B7A">
        <w:rPr>
          <w:rFonts w:ascii="Times New Roman" w:eastAsia="Times New Roman" w:hAnsi="Times New Roman"/>
          <w:vertAlign w:val="superscript"/>
          <w:lang w:eastAsia="ar-SA"/>
        </w:rPr>
        <w:t>1</w:t>
      </w:r>
      <w:r w:rsidRPr="00276B7A">
        <w:rPr>
          <w:rFonts w:ascii="Times New Roman" w:eastAsia="Times New Roman" w:hAnsi="Times New Roman"/>
          <w:lang w:eastAsia="ar-SA"/>
        </w:rPr>
        <w:t xml:space="preserve">, </w:t>
      </w:r>
      <w:r w:rsidRPr="00276B7A">
        <w:rPr>
          <w:rFonts w:ascii="Times New Roman" w:eastAsia="Times New Roman" w:hAnsi="Times New Roman"/>
          <w:lang w:eastAsia="ar-SA"/>
        </w:rPr>
        <w:t>Heloisa BETTIOL</w:t>
      </w:r>
      <w:r w:rsidRPr="00276B7A">
        <w:rPr>
          <w:rFonts w:ascii="Times New Roman" w:eastAsia="Times New Roman" w:hAnsi="Times New Roman"/>
          <w:vertAlign w:val="superscript"/>
          <w:lang w:eastAsia="ar-SA"/>
        </w:rPr>
        <w:t>3</w:t>
      </w:r>
      <w:r w:rsidRPr="00276B7A">
        <w:rPr>
          <w:rFonts w:ascii="Times New Roman" w:eastAsia="Times New Roman" w:hAnsi="Times New Roman"/>
          <w:lang w:eastAsia="ar-SA"/>
        </w:rPr>
        <w:t xml:space="preserve">, </w:t>
      </w:r>
      <w:r w:rsidRPr="00276B7A">
        <w:rPr>
          <w:rFonts w:ascii="Times New Roman" w:eastAsia="Times New Roman" w:hAnsi="Times New Roman"/>
          <w:lang w:eastAsia="ar-SA"/>
        </w:rPr>
        <w:t>Marco Antonio BARBIERI</w:t>
      </w:r>
      <w:r w:rsidRPr="00276B7A">
        <w:rPr>
          <w:rFonts w:ascii="Times New Roman" w:eastAsia="Times New Roman" w:hAnsi="Times New Roman"/>
          <w:lang w:eastAsia="ar-SA"/>
        </w:rPr>
        <w:t xml:space="preserve"> </w:t>
      </w:r>
      <w:r w:rsidRPr="00276B7A">
        <w:rPr>
          <w:rFonts w:ascii="Times New Roman" w:eastAsia="Times New Roman" w:hAnsi="Times New Roman"/>
          <w:vertAlign w:val="superscript"/>
          <w:lang w:eastAsia="ar-SA"/>
        </w:rPr>
        <w:t>3</w:t>
      </w:r>
      <w:r w:rsidRPr="00276B7A">
        <w:rPr>
          <w:rFonts w:ascii="Times New Roman" w:eastAsia="Times New Roman" w:hAnsi="Times New Roman"/>
          <w:lang w:eastAsia="ar-SA"/>
        </w:rPr>
        <w:t xml:space="preserve">, </w:t>
      </w:r>
      <w:r w:rsidRPr="00276B7A">
        <w:rPr>
          <w:rFonts w:ascii="Times New Roman" w:eastAsia="Times New Roman" w:hAnsi="Times New Roman"/>
          <w:lang w:eastAsia="ar-SA"/>
        </w:rPr>
        <w:t xml:space="preserve">Viviane Cunha CARDOSO </w:t>
      </w:r>
      <w:r w:rsidRPr="00276B7A">
        <w:rPr>
          <w:rFonts w:ascii="Times New Roman" w:eastAsia="Times New Roman" w:hAnsi="Times New Roman"/>
          <w:vertAlign w:val="superscript"/>
          <w:lang w:eastAsia="ar-SA"/>
        </w:rPr>
        <w:t>3</w:t>
      </w:r>
      <w:r w:rsidRPr="00276B7A">
        <w:rPr>
          <w:rFonts w:ascii="Times New Roman" w:eastAsia="Times New Roman" w:hAnsi="Times New Roman"/>
          <w:lang w:eastAsia="ar-SA"/>
        </w:rPr>
        <w:t xml:space="preserve">,  Ricardo </w:t>
      </w:r>
      <w:r w:rsidRPr="00276B7A">
        <w:rPr>
          <w:rFonts w:ascii="Times New Roman" w:eastAsia="Times New Roman" w:hAnsi="Times New Roman"/>
          <w:lang w:eastAsia="ar-SA"/>
        </w:rPr>
        <w:t>Carvalho</w:t>
      </w:r>
      <w:r w:rsidRPr="00276B7A">
        <w:rPr>
          <w:rFonts w:ascii="Times New Roman" w:eastAsia="Times New Roman" w:hAnsi="Times New Roman"/>
          <w:lang w:eastAsia="ar-SA"/>
        </w:rPr>
        <w:t xml:space="preserve"> CAVALLI</w:t>
      </w:r>
      <w:r w:rsidRPr="00276B7A">
        <w:rPr>
          <w:rFonts w:ascii="Times New Roman" w:eastAsia="Times New Roman" w:hAnsi="Times New Roman"/>
          <w:vertAlign w:val="superscript"/>
          <w:lang w:eastAsia="ar-SA"/>
        </w:rPr>
        <w:t xml:space="preserve">4   </w:t>
      </w:r>
    </w:p>
    <w:p w:rsidR="00276B7A" w:rsidRPr="00276B7A" w:rsidRDefault="00276B7A" w:rsidP="00276B7A">
      <w:pPr>
        <w:pStyle w:val="Default"/>
        <w:spacing w:before="240" w:line="276" w:lineRule="auto"/>
        <w:ind w:left="142"/>
        <w:rPr>
          <w:rFonts w:ascii="Times New Roman" w:eastAsia="Times New Roman" w:hAnsi="Times New Roman"/>
          <w:lang w:eastAsia="ar-SA"/>
        </w:rPr>
      </w:pPr>
      <w:proofErr w:type="gramStart"/>
      <w:r w:rsidRPr="00276B7A">
        <w:rPr>
          <w:rFonts w:ascii="Times New Roman" w:eastAsia="Times New Roman" w:hAnsi="Times New Roman"/>
          <w:vertAlign w:val="superscript"/>
          <w:lang w:eastAsia="ar-SA"/>
        </w:rPr>
        <w:t>1</w:t>
      </w:r>
      <w:proofErr w:type="gramEnd"/>
      <w:r w:rsidRPr="00276B7A">
        <w:rPr>
          <w:rFonts w:ascii="Times New Roman" w:eastAsia="Times New Roman" w:hAnsi="Times New Roman"/>
          <w:vertAlign w:val="superscript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Departament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Pharmacology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Institute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Biosciences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, </w:t>
      </w:r>
      <w:r w:rsidRPr="00276B7A">
        <w:rPr>
          <w:rFonts w:ascii="Times New Roman" w:eastAsia="Times New Roman" w:hAnsi="Times New Roman"/>
          <w:iCs/>
          <w:lang w:eastAsia="ar-SA"/>
        </w:rPr>
        <w:t xml:space="preserve">São Paulo </w:t>
      </w:r>
      <w:proofErr w:type="spellStart"/>
      <w:r w:rsidRPr="00276B7A">
        <w:rPr>
          <w:rFonts w:ascii="Times New Roman" w:eastAsia="Times New Roman" w:hAnsi="Times New Roman"/>
          <w:iCs/>
          <w:lang w:eastAsia="ar-SA"/>
        </w:rPr>
        <w:t>State</w:t>
      </w:r>
      <w:proofErr w:type="spellEnd"/>
      <w:r w:rsidRPr="00276B7A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iCs/>
          <w:lang w:eastAsia="ar-SA"/>
        </w:rPr>
        <w:t>University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(UNESP), Botucatu, São Paulo,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Brazil</w:t>
      </w:r>
      <w:proofErr w:type="spellEnd"/>
    </w:p>
    <w:p w:rsidR="00276B7A" w:rsidRPr="00276B7A" w:rsidRDefault="00276B7A" w:rsidP="00276B7A">
      <w:pPr>
        <w:pStyle w:val="Default"/>
        <w:spacing w:before="240" w:line="276" w:lineRule="auto"/>
        <w:ind w:left="142"/>
        <w:rPr>
          <w:rFonts w:ascii="Times New Roman" w:eastAsia="Times New Roman" w:hAnsi="Times New Roman"/>
          <w:lang w:eastAsia="ar-SA"/>
        </w:rPr>
      </w:pPr>
      <w:proofErr w:type="gramStart"/>
      <w:r w:rsidRPr="00276B7A">
        <w:rPr>
          <w:rFonts w:ascii="Times New Roman" w:eastAsia="Times New Roman" w:hAnsi="Times New Roman"/>
          <w:vertAlign w:val="superscript"/>
          <w:lang w:eastAsia="ar-SA"/>
        </w:rPr>
        <w:t>2</w:t>
      </w:r>
      <w:proofErr w:type="gramEnd"/>
      <w:r w:rsidRPr="00276B7A">
        <w:rPr>
          <w:rFonts w:ascii="Times New Roman" w:eastAsia="Times New Roman" w:hAnsi="Times New Roman"/>
          <w:vertAlign w:val="superscript"/>
          <w:lang w:eastAsia="ar-SA"/>
        </w:rPr>
        <w:t xml:space="preserve"> </w:t>
      </w:r>
      <w:r w:rsidRPr="00276B7A">
        <w:rPr>
          <w:rFonts w:ascii="Times New Roman" w:eastAsia="Times New Roman" w:hAnsi="Times New Roman"/>
          <w:lang w:eastAsia="ar-SA"/>
        </w:rPr>
        <w:t xml:space="preserve">CEATOX – Center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Toxicological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Assistance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-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Institute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Biosciences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, </w:t>
      </w:r>
      <w:r w:rsidRPr="00276B7A">
        <w:rPr>
          <w:rFonts w:ascii="Times New Roman" w:eastAsia="Times New Roman" w:hAnsi="Times New Roman"/>
          <w:iCs/>
          <w:lang w:eastAsia="ar-SA"/>
        </w:rPr>
        <w:t xml:space="preserve">São Paulo </w:t>
      </w:r>
      <w:proofErr w:type="spellStart"/>
      <w:r w:rsidRPr="00276B7A">
        <w:rPr>
          <w:rFonts w:ascii="Times New Roman" w:eastAsia="Times New Roman" w:hAnsi="Times New Roman"/>
          <w:iCs/>
          <w:lang w:eastAsia="ar-SA"/>
        </w:rPr>
        <w:t>State</w:t>
      </w:r>
      <w:proofErr w:type="spellEnd"/>
      <w:r w:rsidRPr="00276B7A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iCs/>
          <w:lang w:eastAsia="ar-SA"/>
        </w:rPr>
        <w:t>University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(UNESP), Botucatu, São Paulo,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Brazil</w:t>
      </w:r>
      <w:proofErr w:type="spellEnd"/>
    </w:p>
    <w:p w:rsidR="00276B7A" w:rsidRPr="00276B7A" w:rsidRDefault="00276B7A" w:rsidP="00276B7A">
      <w:pPr>
        <w:pStyle w:val="Default"/>
        <w:spacing w:before="240" w:line="276" w:lineRule="auto"/>
        <w:ind w:left="142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276B7A">
        <w:rPr>
          <w:rFonts w:ascii="Times New Roman" w:eastAsia="Times New Roman" w:hAnsi="Times New Roman"/>
          <w:vertAlign w:val="superscript"/>
          <w:lang w:eastAsia="ar-SA"/>
        </w:rPr>
        <w:t>3</w:t>
      </w:r>
      <w:proofErr w:type="gramEnd"/>
      <w:r w:rsidRPr="00276B7A">
        <w:rPr>
          <w:rFonts w:ascii="Times New Roman" w:eastAsia="Times New Roman" w:hAnsi="Times New Roman"/>
          <w:vertAlign w:val="superscript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Department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Pediatrics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Faculty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Medicine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Ribeirao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Preto,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University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Sao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Paulo,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Ribeirao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Preto,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Sao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Paulo,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Brazil</w:t>
      </w:r>
      <w:proofErr w:type="spellEnd"/>
      <w:r w:rsidRPr="00276B7A">
        <w:rPr>
          <w:rFonts w:ascii="Times New Roman" w:eastAsia="Times New Roman" w:hAnsi="Times New Roman"/>
          <w:lang w:eastAsia="ar-SA"/>
        </w:rPr>
        <w:t>.</w:t>
      </w:r>
    </w:p>
    <w:p w:rsidR="00276B7A" w:rsidRPr="00276B7A" w:rsidRDefault="00276B7A" w:rsidP="00276B7A">
      <w:pPr>
        <w:pStyle w:val="Default"/>
        <w:spacing w:before="240" w:line="276" w:lineRule="auto"/>
        <w:ind w:left="142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276B7A">
        <w:rPr>
          <w:rFonts w:ascii="Times New Roman" w:eastAsia="Times New Roman" w:hAnsi="Times New Roman"/>
          <w:vertAlign w:val="superscript"/>
          <w:lang w:eastAsia="ar-SA"/>
        </w:rPr>
        <w:t>4</w:t>
      </w:r>
      <w:proofErr w:type="gramEnd"/>
      <w:r w:rsidRPr="00276B7A">
        <w:rPr>
          <w:rFonts w:ascii="Times New Roman" w:eastAsia="Times New Roman" w:hAnsi="Times New Roman"/>
          <w:vertAlign w:val="superscript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Departament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Obstetric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and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Gynecology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Faculty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Medicine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Ribeirao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Preto,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University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of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Sao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Paulo,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Ribeirao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Preto,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Sao</w:t>
      </w:r>
      <w:proofErr w:type="spellEnd"/>
      <w:r w:rsidRPr="00276B7A">
        <w:rPr>
          <w:rFonts w:ascii="Times New Roman" w:eastAsia="Times New Roman" w:hAnsi="Times New Roman"/>
          <w:lang w:eastAsia="ar-SA"/>
        </w:rPr>
        <w:t xml:space="preserve"> Paulo, </w:t>
      </w:r>
      <w:proofErr w:type="spellStart"/>
      <w:r w:rsidRPr="00276B7A">
        <w:rPr>
          <w:rFonts w:ascii="Times New Roman" w:eastAsia="Times New Roman" w:hAnsi="Times New Roman"/>
          <w:lang w:eastAsia="ar-SA"/>
        </w:rPr>
        <w:t>Brazil</w:t>
      </w:r>
      <w:proofErr w:type="spellEnd"/>
    </w:p>
    <w:p w:rsidR="009E1004" w:rsidRDefault="00BC0C76" w:rsidP="00284C66">
      <w:pPr>
        <w:pStyle w:val="Default"/>
        <w:spacing w:before="240" w:line="360" w:lineRule="auto"/>
        <w:ind w:left="142"/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852086" cy="7081284"/>
            <wp:effectExtent l="19050" t="0" r="5664" b="0"/>
            <wp:docPr id="2" name="Imagem 1" descr="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477" cy="708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004" w:rsidRDefault="009E1004" w:rsidP="00284C66">
      <w:pPr>
        <w:pStyle w:val="Default"/>
        <w:spacing w:before="240" w:line="360" w:lineRule="auto"/>
        <w:ind w:left="142"/>
        <w:jc w:val="both"/>
      </w:pPr>
    </w:p>
    <w:p w:rsidR="005070E9" w:rsidRPr="003459D7" w:rsidRDefault="003459D7" w:rsidP="003459D7">
      <w:pPr>
        <w:tabs>
          <w:tab w:val="left" w:pos="205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3459D7">
        <w:rPr>
          <w:rFonts w:ascii="Times New Roman" w:hAnsi="Times New Roman"/>
          <w:b/>
          <w:sz w:val="24"/>
          <w:szCs w:val="24"/>
          <w:lang w:val="en-US"/>
        </w:rPr>
        <w:t>Figure S1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>–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Plasma 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>(</w:t>
      </w:r>
      <w:r w:rsidR="005070E9" w:rsidRPr="003459D7">
        <w:rPr>
          <w:rFonts w:ascii="Times New Roman" w:hAnsi="Times New Roman"/>
          <w:bCs/>
          <w:sz w:val="24"/>
          <w:szCs w:val="24"/>
          <w:lang w:val="en-US"/>
        </w:rPr>
        <w:t>A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 xml:space="preserve">) and </w:t>
      </w:r>
      <w:r w:rsidRPr="003459D7">
        <w:rPr>
          <w:rFonts w:ascii="Times New Roman" w:hAnsi="Times New Roman"/>
          <w:sz w:val="24"/>
          <w:szCs w:val="24"/>
          <w:lang w:val="en-US"/>
        </w:rPr>
        <w:t>urine (</w:t>
      </w:r>
      <w:r w:rsidR="005070E9" w:rsidRPr="003459D7">
        <w:rPr>
          <w:rFonts w:ascii="Times New Roman" w:hAnsi="Times New Roman"/>
          <w:bCs/>
          <w:sz w:val="24"/>
          <w:szCs w:val="24"/>
          <w:lang w:val="en-US"/>
        </w:rPr>
        <w:t>B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>)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 HO-1 concentration 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 xml:space="preserve">from pregnant 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healthy during gestation (control, n=90) and 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>women who subsequently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>developed preeclampsia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 (case, n=30).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 xml:space="preserve"> No significant difference</w:t>
      </w:r>
      <w:r w:rsidRPr="003459D7">
        <w:rPr>
          <w:rFonts w:ascii="Times New Roman" w:hAnsi="Times New Roman"/>
          <w:sz w:val="24"/>
          <w:szCs w:val="24"/>
          <w:lang w:val="en-US"/>
        </w:rPr>
        <w:t>s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59D7">
        <w:rPr>
          <w:rFonts w:ascii="Times New Roman" w:hAnsi="Times New Roman"/>
          <w:sz w:val="24"/>
          <w:szCs w:val="24"/>
          <w:lang w:val="en-US"/>
        </w:rPr>
        <w:t>were found in plasma between case and control of plasma (medians [</w:t>
      </w:r>
      <w:r w:rsidRPr="003459D7">
        <w:rPr>
          <w:rFonts w:ascii="Times New Roman" w:eastAsiaTheme="minorHAnsi" w:hAnsi="Times New Roman"/>
          <w:sz w:val="24"/>
          <w:szCs w:val="24"/>
          <w:lang w:val="en-US"/>
        </w:rPr>
        <w:t xml:space="preserve">25th–75th centiles]: 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 1.69 ng/</w:t>
      </w:r>
      <w:proofErr w:type="spellStart"/>
      <w:r w:rsidRPr="003459D7">
        <w:rPr>
          <w:rFonts w:ascii="Times New Roman" w:hAnsi="Times New Roman"/>
          <w:sz w:val="24"/>
          <w:szCs w:val="24"/>
          <w:lang w:val="en-US"/>
        </w:rPr>
        <w:t>mL</w:t>
      </w:r>
      <w:proofErr w:type="spellEnd"/>
      <w:r w:rsidRPr="003459D7">
        <w:rPr>
          <w:rFonts w:ascii="Times New Roman" w:hAnsi="Times New Roman"/>
          <w:sz w:val="24"/>
          <w:szCs w:val="24"/>
          <w:lang w:val="en-US"/>
        </w:rPr>
        <w:t xml:space="preserve"> [1.19-4.17] </w:t>
      </w:r>
      <w:proofErr w:type="spellStart"/>
      <w:r w:rsidRPr="003459D7">
        <w:rPr>
          <w:rFonts w:ascii="Times New Roman" w:hAnsi="Times New Roman"/>
          <w:i/>
          <w:sz w:val="24"/>
          <w:szCs w:val="24"/>
          <w:lang w:val="en-US"/>
        </w:rPr>
        <w:t>vs</w:t>
      </w:r>
      <w:proofErr w:type="spellEnd"/>
      <w:r w:rsidRPr="003459D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1.83 [1.22-2.90], respectively; </w:t>
      </w:r>
      <w:r w:rsidRPr="003459D7">
        <w:rPr>
          <w:rFonts w:ascii="Times New Roman" w:hAnsi="Times New Roman"/>
          <w:i/>
          <w:sz w:val="24"/>
          <w:szCs w:val="24"/>
          <w:lang w:val="en-US"/>
        </w:rPr>
        <w:t>P=0.54</w:t>
      </w:r>
      <w:r w:rsidRPr="003459D7">
        <w:rPr>
          <w:rFonts w:ascii="Times New Roman" w:hAnsi="Times New Roman"/>
          <w:sz w:val="24"/>
          <w:szCs w:val="24"/>
          <w:lang w:val="en-US"/>
        </w:rPr>
        <w:t>) neither urine (0.33±0.05 ng/</w:t>
      </w:r>
      <w:proofErr w:type="spellStart"/>
      <w:r w:rsidRPr="003459D7">
        <w:rPr>
          <w:rFonts w:ascii="Times New Roman" w:hAnsi="Times New Roman"/>
          <w:sz w:val="24"/>
          <w:szCs w:val="24"/>
          <w:lang w:val="en-US"/>
        </w:rPr>
        <w:t>mL</w:t>
      </w:r>
      <w:proofErr w:type="spellEnd"/>
      <w:r w:rsidRPr="003459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59D7">
        <w:rPr>
          <w:rFonts w:ascii="Times New Roman" w:hAnsi="Times New Roman"/>
          <w:i/>
          <w:sz w:val="24"/>
          <w:szCs w:val="24"/>
          <w:lang w:val="en-US"/>
        </w:rPr>
        <w:t>vs</w:t>
      </w:r>
      <w:proofErr w:type="spellEnd"/>
      <w:r w:rsidRPr="003459D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59D7">
        <w:rPr>
          <w:rFonts w:ascii="Times New Roman" w:hAnsi="Times New Roman"/>
          <w:sz w:val="24"/>
          <w:szCs w:val="24"/>
          <w:lang w:val="en-US"/>
        </w:rPr>
        <w:t>0.34±0.06 ng/</w:t>
      </w:r>
      <w:proofErr w:type="spellStart"/>
      <w:r w:rsidRPr="003459D7">
        <w:rPr>
          <w:rFonts w:ascii="Times New Roman" w:hAnsi="Times New Roman"/>
          <w:sz w:val="24"/>
          <w:szCs w:val="24"/>
          <w:lang w:val="en-US"/>
        </w:rPr>
        <w:t>mL</w:t>
      </w:r>
      <w:proofErr w:type="spellEnd"/>
      <w:r w:rsidRPr="003459D7">
        <w:rPr>
          <w:rFonts w:ascii="Times New Roman" w:hAnsi="Times New Roman"/>
          <w:sz w:val="24"/>
          <w:szCs w:val="24"/>
          <w:lang w:val="en-US"/>
        </w:rPr>
        <w:t xml:space="preserve">, respectively </w:t>
      </w:r>
      <w:r w:rsidRPr="003459D7">
        <w:rPr>
          <w:rFonts w:ascii="Times New Roman" w:hAnsi="Times New Roman"/>
          <w:i/>
          <w:sz w:val="24"/>
          <w:szCs w:val="24"/>
          <w:lang w:val="en-US"/>
        </w:rPr>
        <w:t>P=0.31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3459D7">
        <w:rPr>
          <w:rFonts w:ascii="Times New Roman" w:eastAsiaTheme="minorHAnsi" w:hAnsi="Times New Roman"/>
          <w:sz w:val="24"/>
          <w:szCs w:val="24"/>
          <w:lang w:val="en-US"/>
        </w:rPr>
        <w:t>Boxplot</w:t>
      </w:r>
      <w:proofErr w:type="spellEnd"/>
      <w:r w:rsidRPr="003459D7">
        <w:rPr>
          <w:rFonts w:ascii="Times New Roman" w:eastAsiaTheme="minorHAnsi" w:hAnsi="Times New Roman"/>
          <w:sz w:val="24"/>
          <w:szCs w:val="24"/>
          <w:lang w:val="en-US"/>
        </w:rPr>
        <w:t xml:space="preserve"> indicates median [min−max].</w:t>
      </w:r>
      <w:r w:rsidR="005070E9" w:rsidRPr="003459D7">
        <w:rPr>
          <w:rFonts w:ascii="Times New Roman" w:hAnsi="Times New Roman"/>
          <w:sz w:val="24"/>
          <w:szCs w:val="24"/>
          <w:lang w:val="en-US"/>
        </w:rPr>
        <w:t xml:space="preserve"> Comparison between groups </w:t>
      </w:r>
      <w:r>
        <w:rPr>
          <w:rFonts w:ascii="Times New Roman" w:hAnsi="Times New Roman"/>
          <w:sz w:val="24"/>
          <w:szCs w:val="24"/>
          <w:lang w:val="en-US"/>
        </w:rPr>
        <w:t xml:space="preserve">was </w:t>
      </w:r>
      <w:r w:rsidRPr="003459D7">
        <w:rPr>
          <w:rFonts w:ascii="Times New Roman" w:hAnsi="Times New Roman"/>
          <w:sz w:val="24"/>
          <w:szCs w:val="24"/>
          <w:lang w:val="en-US"/>
        </w:rPr>
        <w:t xml:space="preserve">Student´s T-test. </w:t>
      </w:r>
    </w:p>
    <w:p w:rsidR="00284C66" w:rsidRDefault="00284C66" w:rsidP="00284C66">
      <w:pPr>
        <w:pStyle w:val="Default"/>
        <w:spacing w:before="240" w:line="360" w:lineRule="auto"/>
        <w:ind w:left="14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S1</w:t>
      </w:r>
      <w:r w:rsidRPr="006C7194">
        <w:rPr>
          <w:rFonts w:ascii="Times New Roman" w:hAnsi="Times New Roman" w:cs="Times New Roman"/>
          <w:b/>
          <w:lang w:val="en-US"/>
        </w:rPr>
        <w:t xml:space="preserve">. </w:t>
      </w:r>
      <w:r w:rsidRPr="006C7194">
        <w:rPr>
          <w:rFonts w:ascii="Times New Roman" w:hAnsi="Times New Roman" w:cs="Times New Roman"/>
          <w:lang w:val="en-US"/>
        </w:rPr>
        <w:t xml:space="preserve">Correlations between general characteristics and </w:t>
      </w:r>
      <w:r>
        <w:rPr>
          <w:rFonts w:ascii="Times New Roman" w:hAnsi="Times New Roman" w:cs="Times New Roman"/>
          <w:lang w:val="en-US"/>
        </w:rPr>
        <w:t>HO-1</w:t>
      </w:r>
      <w:r w:rsidRPr="006C7194">
        <w:rPr>
          <w:rFonts w:ascii="Times New Roman" w:hAnsi="Times New Roman" w:cs="Times New Roman"/>
          <w:lang w:val="en-US"/>
        </w:rPr>
        <w:t xml:space="preserve"> concentration in plasma samples from controls, mild and severe cases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56"/>
        <w:gridCol w:w="2109"/>
        <w:gridCol w:w="2111"/>
        <w:gridCol w:w="2111"/>
      </w:tblGrid>
      <w:tr w:rsidR="00284C66" w:rsidRPr="00BF42FA" w:rsidTr="00FA7BD7">
        <w:tc>
          <w:tcPr>
            <w:tcW w:w="15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4C66" w:rsidRPr="006736FF" w:rsidRDefault="00284C66" w:rsidP="00FA7BD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Severe (Case)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Mild (Case)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Control</w:t>
            </w:r>
          </w:p>
        </w:tc>
      </w:tr>
      <w:tr w:rsidR="00284C66" w:rsidRPr="006736FF" w:rsidTr="00FA7BD7"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before="2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6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SBP </w:t>
            </w:r>
            <w:r w:rsidRPr="006736FF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(mmHg)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before="2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-0.24 (0.42)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before="2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-0.04 (0.87)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before="2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-0.05 (0.62)</w:t>
            </w:r>
          </w:p>
        </w:tc>
      </w:tr>
      <w:tr w:rsidR="00284C66" w:rsidRPr="002277FC" w:rsidTr="00FA7BD7">
        <w:tc>
          <w:tcPr>
            <w:tcW w:w="1556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6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DBP </w:t>
            </w:r>
            <w:r w:rsidRPr="006736FF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(mmHg)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 (0.97)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0.13 (0.62)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-0.09 (0.37)</w:t>
            </w:r>
          </w:p>
        </w:tc>
      </w:tr>
      <w:tr w:rsidR="00284C66" w:rsidRPr="002277FC" w:rsidTr="00FA7BD7">
        <w:tc>
          <w:tcPr>
            <w:tcW w:w="1556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36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BMI </w:t>
            </w:r>
            <w:r w:rsidRPr="006736FF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(</w:t>
            </w:r>
            <w:bookmarkStart w:id="0" w:name="OLE_LINK6"/>
            <w:r w:rsidRPr="006736FF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Kg/m</w:t>
            </w:r>
            <w:r w:rsidRPr="006736FF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en-US"/>
              </w:rPr>
              <w:t>2</w:t>
            </w:r>
            <w:bookmarkEnd w:id="0"/>
            <w:r w:rsidRPr="006736FF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-0.01 (0.95)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-0.31 (0.23)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84C66" w:rsidRPr="00951C08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1C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Pr="00951C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(0.0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51C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284C66" w:rsidRPr="002277FC" w:rsidTr="00FA7BD7">
        <w:tc>
          <w:tcPr>
            <w:tcW w:w="1556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Maternal Age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-0.22 (0.46)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-0.10 (0.70)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-0.12 (0.26)</w:t>
            </w:r>
          </w:p>
        </w:tc>
      </w:tr>
      <w:tr w:rsidR="00284C66" w:rsidRPr="006736FF" w:rsidTr="00FA7BD7">
        <w:tc>
          <w:tcPr>
            <w:tcW w:w="1556" w:type="dxa"/>
            <w:shd w:val="clear" w:color="auto" w:fill="auto"/>
            <w:vAlign w:val="center"/>
          </w:tcPr>
          <w:p w:rsidR="00284C66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NBW (g)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0.35 (0.23)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-0.18 (0.49)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-0.12 (0.24)</w:t>
            </w:r>
          </w:p>
        </w:tc>
      </w:tr>
      <w:tr w:rsidR="00284C66" w:rsidRPr="006736FF" w:rsidTr="00FA7BD7">
        <w:tc>
          <w:tcPr>
            <w:tcW w:w="1556" w:type="dxa"/>
            <w:shd w:val="clear" w:color="auto" w:fill="auto"/>
            <w:vAlign w:val="center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Urine levels</w:t>
            </w:r>
          </w:p>
        </w:tc>
        <w:tc>
          <w:tcPr>
            <w:tcW w:w="2109" w:type="dxa"/>
            <w:shd w:val="clear" w:color="auto" w:fill="auto"/>
            <w:vAlign w:val="bottom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-0.02 (0.94)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-0.49 (0.06)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284C66" w:rsidRPr="006736FF" w:rsidRDefault="00284C66" w:rsidP="00FA7BD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-0.13 (0.23)</w:t>
            </w:r>
          </w:p>
        </w:tc>
      </w:tr>
    </w:tbl>
    <w:p w:rsidR="00284C66" w:rsidRPr="006C7194" w:rsidRDefault="00284C66" w:rsidP="00284C66">
      <w:pPr>
        <w:spacing w:before="240" w:line="240" w:lineRule="auto"/>
        <w:ind w:left="142" w:right="111"/>
        <w:jc w:val="both"/>
        <w:rPr>
          <w:rFonts w:ascii="Times New Roman" w:hAnsi="Times New Roman"/>
          <w:sz w:val="24"/>
          <w:szCs w:val="24"/>
          <w:lang w:val="en-US"/>
        </w:rPr>
      </w:pPr>
      <w:r w:rsidRPr="006C7194">
        <w:rPr>
          <w:rFonts w:ascii="Times New Roman" w:hAnsi="Times New Roman"/>
          <w:sz w:val="24"/>
          <w:szCs w:val="24"/>
          <w:lang w:val="en-US"/>
        </w:rPr>
        <w:t xml:space="preserve">Data as </w:t>
      </w:r>
      <w:r>
        <w:rPr>
          <w:rFonts w:ascii="Times New Roman" w:hAnsi="Times New Roman"/>
          <w:sz w:val="24"/>
          <w:szCs w:val="24"/>
          <w:lang w:val="en-US"/>
        </w:rPr>
        <w:t>correlation coefficient (</w:t>
      </w:r>
      <w:r w:rsidRPr="006C7194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C7194">
        <w:rPr>
          <w:rFonts w:ascii="Times New Roman" w:hAnsi="Times New Roman"/>
          <w:sz w:val="24"/>
          <w:szCs w:val="24"/>
          <w:lang w:val="en-US"/>
        </w:rPr>
        <w:t xml:space="preserve"> value</w:t>
      </w:r>
      <w:r>
        <w:rPr>
          <w:rFonts w:ascii="Times New Roman" w:hAnsi="Times New Roman"/>
          <w:sz w:val="24"/>
          <w:szCs w:val="24"/>
          <w:lang w:val="en-US"/>
        </w:rPr>
        <w:t xml:space="preserve">); SBP, </w:t>
      </w:r>
      <w:r w:rsidRPr="006C7194">
        <w:rPr>
          <w:rFonts w:ascii="Times New Roman" w:hAnsi="Times New Roman"/>
          <w:sz w:val="24"/>
          <w:szCs w:val="24"/>
          <w:lang w:val="en-US"/>
        </w:rPr>
        <w:t xml:space="preserve">systolic blood pressure; DBP, diastolic blood pressure; BMI, body mass index GA, gestational age; NBW, newborn weight. </w:t>
      </w:r>
    </w:p>
    <w:p w:rsidR="00CB3E6B" w:rsidRDefault="00CB3E6B">
      <w:pPr>
        <w:rPr>
          <w:lang w:val="en-US"/>
        </w:rPr>
      </w:pPr>
    </w:p>
    <w:sectPr w:rsidR="00CB3E6B" w:rsidSect="00745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096"/>
    <w:rsid w:val="000A02DC"/>
    <w:rsid w:val="000A1D4E"/>
    <w:rsid w:val="00207311"/>
    <w:rsid w:val="002277FC"/>
    <w:rsid w:val="00276B7A"/>
    <w:rsid w:val="00284C66"/>
    <w:rsid w:val="002E4FC9"/>
    <w:rsid w:val="003459D7"/>
    <w:rsid w:val="0034716C"/>
    <w:rsid w:val="003A0894"/>
    <w:rsid w:val="005070E9"/>
    <w:rsid w:val="00555283"/>
    <w:rsid w:val="006E14A0"/>
    <w:rsid w:val="007245A0"/>
    <w:rsid w:val="007453A4"/>
    <w:rsid w:val="007B1138"/>
    <w:rsid w:val="007C203A"/>
    <w:rsid w:val="009E1004"/>
    <w:rsid w:val="00BA3A1C"/>
    <w:rsid w:val="00BC0C76"/>
    <w:rsid w:val="00BF42FA"/>
    <w:rsid w:val="00C00A2C"/>
    <w:rsid w:val="00C01E82"/>
    <w:rsid w:val="00C60096"/>
    <w:rsid w:val="00C81B7A"/>
    <w:rsid w:val="00CB3E6B"/>
    <w:rsid w:val="00CB602F"/>
    <w:rsid w:val="00D33CA3"/>
    <w:rsid w:val="00DC3060"/>
    <w:rsid w:val="00E8629D"/>
    <w:rsid w:val="00F4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0096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E100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10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DCEA-AA81-4083-81C4-982D4112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2018-08-24T18:53:00Z</dcterms:created>
  <dcterms:modified xsi:type="dcterms:W3CDTF">2018-08-24T18:53:00Z</dcterms:modified>
</cp:coreProperties>
</file>