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E" w:rsidRPr="0050341B" w:rsidRDefault="00AE02F3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Supporting Information </w:t>
      </w:r>
      <w:r w:rsidR="0064230E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the manuscript:</w:t>
      </w:r>
    </w:p>
    <w:p w:rsidR="00CC1501" w:rsidRPr="00607AE9" w:rsidRDefault="00CC1501" w:rsidP="00CC1501">
      <w:pPr>
        <w:pStyle w:val="Titolo1"/>
        <w:spacing w:line="240" w:lineRule="auto"/>
        <w:rPr>
          <w:rFonts w:eastAsiaTheme="minorHAnsi"/>
        </w:rPr>
      </w:pPr>
      <w:r w:rsidRPr="00492F66">
        <w:t>β-lactoglobulin heptapeptide reduces oxidative stress in intestinal epithelial cells and Angiotensin II-induced vasoconstriction on mice mesenteric arteries by induction of Nuclear factor erythroid 2-related factor 2 (Nrf2) translocation</w:t>
      </w:r>
    </w:p>
    <w:p w:rsidR="00CC1501" w:rsidRDefault="00CC1501" w:rsidP="00CC1501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50495" w:rsidRPr="0050341B" w:rsidRDefault="003B0A46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Appendix </w:t>
      </w:r>
      <w:r w:rsidR="00026DCA" w:rsidRPr="005034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S1. </w:t>
      </w:r>
      <w:r w:rsidR="00F50495" w:rsidRPr="005034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Solid phase synthesis of </w:t>
      </w:r>
      <w:r w:rsidR="00F50495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BRP2</w:t>
      </w:r>
    </w:p>
    <w:p w:rsidR="00CC1501" w:rsidRDefault="00F50495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bookmarkStart w:id="1" w:name="OLE_LINK63"/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N</w:t>
      </w:r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val="en-US"/>
        </w:rPr>
        <w:t>α</w:t>
      </w:r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-Fmoc-protected amino acids, Fmoc-Leu-Wang resin, HBTU, HOAt, DIEA, piperidine and trifluoroacetic acid were purchased from Iris Biotech (Germany). </w:t>
      </w:r>
    </w:p>
    <w:p w:rsidR="00F50495" w:rsidRPr="0050341B" w:rsidRDefault="00F50495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Peptide was synthesized on a Fmoc-Xaa-Wang resin (0.150 g, 0.69 mmol/g) previously deprotected with 25% piperidine/DMF (1×3 min, 1×10 min) at room temperature. The resin was then washed with DMF (4 × 4.5 mL). The following protected amino acids were then added on to the resin stepwise. Each coupling reaction was accomplished using a 3-fold excess of amino acid with HBTU and HOAt in the presence of DIEA (6 eq.) and were performed at 75°C for 10 minutes (2×). After each coupling step, the Fmoc protecting group was removed as described above. The resin was washed with DMF (4 × 4.5 mL) after each coupling and deprotection step. The N-terminal Fmoc group was removed, the resin was washed with DCM (7×) and the peptide was released from the resin with TFA/TIS/H</w:t>
      </w:r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341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O (90:5:5) for 3 h. The resin was removed by filtration, and the crude peptide was recovered by precipitation with cold anhydrous ethyl ether to give a white powder and then lyophilized. </w:t>
      </w:r>
    </w:p>
    <w:p w:rsidR="00F50495" w:rsidRPr="0050341B" w:rsidRDefault="00F50495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crude peptide was purified by RP-HPLC on a semi-preparative C18-bonded silica column (Phenomenex, Kinetex 100Å, 100 × 21.2 mm, 5 µm), with detection at 214 and 220 nm.</w:t>
      </w:r>
      <w:r w:rsidR="00A44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flow rate was set to 17 mL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="00A4465D" w:rsidRPr="00A446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mobile phases A: 0.1% TFA in H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v/v and B: ACN plus 0.1% TFA with a linear gradient starting from 5 to 40% B in 17 min. Analytical purity and retention time of synthesized peptide were determined using RP-HPLC-UV and the analogue showed &gt;98% purity when monitored at 214 nm</w:t>
      </w:r>
      <w:r w:rsidR="00D9449F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(Figure S1A)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2565D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exact mass of synthesized peptide was acquired on a SolariX XR FT-ICR 7T (Bruker Daltonics, Bremen, Germany). Sample was infused at 4 uL/min by a Hamilton Syringe. MS detection was operated in positive ionization mode with an ESI Apollo II source with the following parameters: drying temperature, 200°C; nebulizing gas flow (N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1 L/min; drying gas pressure, 4 L/min. Full scan MS data were acquired in the range of 100-1500 m/z, accumulation time, 0.030 ms at 1M. For MS/MS experiments, precursor ions were isolated with a 3Da width, with a collision energy of 15 eV; ion accumulation, 150 ms</w:t>
      </w:r>
      <w:r w:rsidR="00D9449F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(Figure S1B)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bookmarkEnd w:id="1"/>
    <w:p w:rsidR="00F50495" w:rsidRDefault="00F50495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034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1B71BB2" wp14:editId="48AE677C">
            <wp:extent cx="3396343" cy="5651540"/>
            <wp:effectExtent l="0" t="0" r="0" b="0"/>
            <wp:docPr id="4" name="Immagine 4" descr="C:\Users\Administrator\Desktop\Lavori\BUFALA_BUFFALO_\MB2_BRP2_Ricotta_Buffalo_Bufala\Ultime BRP2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avori\BUFALA_BUFFALO_\MB2_BRP2_Ricotta_Buffalo_Bufala\Ultime BRP2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22" cy="56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01" w:rsidRPr="0050341B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CC1501" w:rsidRPr="00AE14C3" w:rsidRDefault="00CC1501" w:rsidP="00D67A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D67A8D">
        <w:rPr>
          <w:rFonts w:ascii="Times New Roman" w:hAnsi="Times New Roman" w:cs="Times New Roman"/>
          <w:b/>
          <w:sz w:val="20"/>
          <w:lang w:val="en-US"/>
        </w:rPr>
        <w:t>Figure S1</w:t>
      </w:r>
      <w:r w:rsidRPr="00AE14C3">
        <w:rPr>
          <w:rFonts w:ascii="Times New Roman" w:hAnsi="Times New Roman" w:cs="Times New Roman"/>
          <w:sz w:val="20"/>
          <w:lang w:val="en-US"/>
        </w:rPr>
        <w:t>: (A) Chromatographic profile acquired by RP-UHPLC-UV and (B) mass spectrum of synthetic BRP2 obtained by direct infusion Fourier Transform Ion Cyclotron Resonance MS.</w:t>
      </w:r>
    </w:p>
    <w:p w:rsidR="00CC1501" w:rsidRDefault="00CC1501" w:rsidP="00CC15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3B0A46" w:rsidRPr="0050341B" w:rsidRDefault="003B0A46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</w:pPr>
      <w:r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Appendix </w:t>
      </w:r>
      <w:r w:rsidR="00026DCA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S2. Quantification of </w:t>
      </w:r>
      <w:bookmarkStart w:id="2" w:name="OLE_LINK92"/>
      <w:r w:rsidR="00026DCA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BRP2 </w:t>
      </w:r>
      <w:bookmarkStart w:id="3" w:name="OLE_LINK61"/>
      <w:bookmarkStart w:id="4" w:name="OLE_LINK62"/>
      <w:bookmarkEnd w:id="2"/>
      <w:r w:rsidR="00E21287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by UHPLC-MS/MS</w:t>
      </w:r>
    </w:p>
    <w:p w:rsidR="00026DCA" w:rsidRPr="0050341B" w:rsidRDefault="004931D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UHPLC-MS/MS analysis were performed on a Shimadzu Nexera UHPLC system (Shimadzu, Milan, Italy) consisting of two LC-30AD pumps, a SIL-30AC autosampler, a CTO-20AC column oven, a CBM-20A controller. The instrument was coupled online with a LCMS-8050 (Shimadzu, Kyoto, Japan) equipped with an electrospray source (ESI). LC-MS data elaboration was performed by the Labsolutions® software (Shimadzu).</w:t>
      </w:r>
    </w:p>
    <w:p w:rsidR="00FC6450" w:rsidRPr="0050341B" w:rsidRDefault="00026DCA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separation was carried on a on BIOshell™ A160 Peptide ES C18 100 × 2.1 mm × 2.7 μm (Supelco, Bellefonte PA, USA) employing as mobile phase A) H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and B) ACN both acidified by formic acid 0.1% v/v, with the following gradient: 0-7.0 min, 5-40% B; 7-7.01 min, 40-95% B; 7.01-9.0 min, isocratic to 95% B. </w:t>
      </w:r>
      <w:r w:rsidR="00A44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flow rate was set to 0.5 mL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="00A4465D" w:rsidRPr="00A446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Column oven was set to 35°C and 5 µL of samples were</w:t>
      </w:r>
      <w:r w:rsidR="003B0A46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injected</w:t>
      </w:r>
      <w:r w:rsidR="00FC6450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26DCA" w:rsidRPr="0050341B" w:rsidRDefault="00026DCA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MS/MS analysis was conducted in selected reaction monitoring (SRM), employing the following transitions with </w:t>
      </w:r>
      <w:bookmarkStart w:id="5" w:name="OLE_LINK1"/>
      <w:bookmarkStart w:id="6" w:name="OLE_LINK2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806.20 </w:t>
      </w:r>
      <w:bookmarkEnd w:id="5"/>
      <w:bookmarkEnd w:id="6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m/z as precursor: 806.20-458.45 m/z (</w:t>
      </w:r>
      <w:bookmarkStart w:id="7" w:name="OLE_LINK87"/>
      <w:bookmarkStart w:id="8" w:name="OLE_LINK88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quantifying ion</w:t>
      </w:r>
      <w:bookmarkEnd w:id="7"/>
      <w:bookmarkEnd w:id="8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); 806.20-349.25 m/z; 806.20-572.50 m/z. Dwell time: 50 ms, Interface temperature: 250°C, Desolvation line temperature: 200°C, Heat Block temperature: 300°C, Heating gas flow: 10 L/min, Nebulizing gas flow: 3.0 L/min.</w:t>
      </w:r>
    </w:p>
    <w:p w:rsidR="00B94CC7" w:rsidRDefault="003F0186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quantification of BRP2 in </w:t>
      </w:r>
      <w:bookmarkStart w:id="9" w:name="OLE_LINK100"/>
      <w:bookmarkStart w:id="10" w:name="OLE_LINK101"/>
      <w:bookmarkStart w:id="11" w:name="OLE_LINK102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uffalo ricotta </w:t>
      </w:r>
      <w:bookmarkEnd w:id="9"/>
      <w:bookmarkEnd w:id="10"/>
      <w:bookmarkEnd w:id="11"/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digest and </w:t>
      </w:r>
      <w:r w:rsidR="00FC6450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in BRF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2,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employed as external standard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the synthetic peptide.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Stock solution was prepared in water, the calibration curve was obtained in a concentration range of </w:t>
      </w:r>
      <w:r w:rsidR="00B676C2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125-0.1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µg L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eight concentration levels and triplicate injection of each level were run. Peak areas </w:t>
      </w:r>
      <w:r w:rsidR="00FC6450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BRP2 were plotted against corresponding concentrations. Linear regression was used to generate calibration curve (y = 0.0004x – 1.5321) with R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values was ≥ 0.9998</w:t>
      </w:r>
      <w:r w:rsidR="00CF5C9D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26DCA" w:rsidRPr="0050341B" w:rsidRDefault="003F0186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Instead, 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the quantification of BRP2 in donor and receiver chamber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, 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the s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tock solution 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diluted with fresh HBSS to a series of concentrations </w:t>
      </w:r>
      <w:r w:rsidR="00444D63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ranged of 125-0.5 nM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establish the calibration curve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(y = </w:t>
      </w:r>
      <w:r w:rsidR="00444D63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0.000001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x – </w:t>
      </w:r>
      <w:r w:rsidR="00444D63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0,000363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≥ 0.999</w:t>
      </w:r>
      <w:r w:rsidR="00444D63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E21287"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End w:id="3"/>
      <w:bookmarkEnd w:id="4"/>
    </w:p>
    <w:p w:rsidR="0052565D" w:rsidRPr="0050341B" w:rsidRDefault="0052565D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Appendix S3. </w:t>
      </w:r>
      <w:r w:rsidR="003F0186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Calculations of </w:t>
      </w:r>
      <w:r w:rsidR="00CA0848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</w:t>
      </w:r>
      <w:r w:rsidR="003F0186"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parent permeability coefficient of BRP2</w:t>
      </w:r>
    </w:p>
    <w:p w:rsidR="0052565D" w:rsidRPr="00AE14C3" w:rsidRDefault="00E85459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</w:t>
      </w:r>
      <w:r w:rsidR="00D44C20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pparent permeability values of BRP2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D44C20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calculated according to the Eq. 1. </w:t>
      </w:r>
      <w:r w:rsidR="00E21287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calculation requires that the sink conditions are fulfilled, that is, the ratio C</w:t>
      </w:r>
      <w:r w:rsidR="00E21287"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</w:t>
      </w:r>
      <w:r w:rsidR="00E21287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/C</w:t>
      </w:r>
      <w:r w:rsidR="00E21287"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D</w:t>
      </w:r>
      <w:r w:rsidR="00E21287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less than 0.1 at each sampling point used in the analysis. </w:t>
      </w:r>
      <w:r w:rsidR="0052565D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analysis is easily improved by considering the change of </w:t>
      </w:r>
      <w:r w:rsidR="0052565D"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="0052565D"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D</w:t>
      </w:r>
      <w:r w:rsidR="0052565D"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="0052565D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donor concentration</w:t>
      </w:r>
      <w:r w:rsidR="00CA0848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</w:t>
      </w:r>
      <w:r w:rsidR="0052565D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recalculated by subtracting the cumulative amount transported to the receiver chamber for each time interval: </w:t>
      </w:r>
    </w:p>
    <w:p w:rsidR="0052565D" w:rsidRPr="0050341B" w:rsidRDefault="0052565D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D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D 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5034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i–1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– f ×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i-1</m:t>
                        </m:r>
                      </m:sub>
                    </m:sSub>
                  </m:e>
                </m:d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:rsidR="0052565D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(2)</w:t>
      </w: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R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(</w:t>
      </w:r>
      <w:r w:rsidRPr="0050341B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M): donor and receiver chamber concentrations calculated at each sample occasion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from the donor and receiver concentrations at the previous occasion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i–1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R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i–1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respectively;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f=1–V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S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/V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R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sample replacement diluition factor;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S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(cm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: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sample volume;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R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(cm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receiver chamber volume;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(cm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 donor chamber volume.</w:t>
      </w:r>
      <w:r w:rsidR="00FC1363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1363" w:rsidRPr="00AE1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[28]</w:t>
      </w: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Integration of Eq.1 then gives:</w:t>
      </w:r>
    </w:p>
    <w:p w:rsidR="00CA0848" w:rsidRPr="00AE14C3" w:rsidRDefault="00CA0848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cum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= P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app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× 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×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Rk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  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/2</m:t>
                </m:r>
              </m:den>
            </m:f>
          </m:e>
        </m:nary>
      </m:oMath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×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– 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×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-1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 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/2</m:t>
                </m:r>
              </m:den>
            </m:f>
          </m:e>
        </m:nary>
      </m:oMath>
    </w:p>
    <w:p w:rsidR="0052565D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(3)</w:t>
      </w: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cum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(cm)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cumulative fraction transported;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time point for the sampling occasion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k: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time point for the sampling occasion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k. </w:t>
      </w: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mass balance is calculated according to:</w:t>
      </w:r>
    </w:p>
    <w:p w:rsidR="00CA0848" w:rsidRPr="00AE14C3" w:rsidRDefault="00CA0848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recovery (%) =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D(fin)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× 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+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∑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S(t)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× 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S(t)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+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R(fin)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× 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R(fin)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×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 /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 xml:space="preserve">D(0)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× V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D(0)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(4)</w:t>
      </w: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565D" w:rsidRPr="00AE14C3" w:rsidRDefault="0052565D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Concentrations of sample on the donor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D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receiver (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R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sides of the monolayer at the start (0) or end (fin) of the experiment; 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S(t)</w:t>
      </w:r>
      <w:r w:rsidRPr="00AE14C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denotes the concentrations of the sample withdrawn at different points t.</w:t>
      </w:r>
      <w:r w:rsidR="00A90C91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Our results showed that a mass balance values of BRP2 are more than 80%.</w:t>
      </w:r>
    </w:p>
    <w:p w:rsidR="00EF5F55" w:rsidRPr="0050341B" w:rsidRDefault="0050341B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4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5C4E87F" wp14:editId="4E1831EB">
            <wp:extent cx="3567789" cy="2289432"/>
            <wp:effectExtent l="0" t="0" r="0" b="0"/>
            <wp:docPr id="1" name="Immagine 1" descr="C:\Users\Administrator\Desktop\Lavori\BUFALA_BUFFALO_\MB2_BRP2_Ricotta_Buffalo_Bufala\Ultime BRP2\Molecular Nutrition and Food Research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avori\BUFALA_BUFFALO_\MB2_BRP2_Ricotta_Buffalo_Bufala\Ultime BRP2\Molecular Nutrition and Food Research\Figure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58" cy="2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01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7111F8" w:rsidRPr="0050341B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67A8D">
        <w:rPr>
          <w:rFonts w:ascii="Times New Roman" w:hAnsi="Times New Roman" w:cs="Times New Roman"/>
          <w:b/>
          <w:sz w:val="20"/>
          <w:lang w:val="en-US"/>
        </w:rPr>
        <w:t>Figure S2:</w:t>
      </w:r>
      <w:r w:rsidRPr="00AE14C3">
        <w:rPr>
          <w:rFonts w:ascii="Times New Roman" w:hAnsi="Times New Roman" w:cs="Times New Roman"/>
          <w:sz w:val="20"/>
          <w:lang w:val="en-US"/>
        </w:rPr>
        <w:t xml:space="preserve"> Transport of BRP2 across Caco-2 cell monolayer.</w:t>
      </w:r>
    </w:p>
    <w:tbl>
      <w:tblPr>
        <w:tblStyle w:val="Grigliatabella"/>
        <w:tblpPr w:leftFromText="141" w:rightFromText="141" w:vertAnchor="page" w:horzAnchor="margin" w:tblpXSpec="center" w:tblpY="6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3851"/>
      </w:tblGrid>
      <w:tr w:rsidR="00B94CC7" w:rsidRPr="0050341B" w:rsidTr="00B94CC7"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BRP2 (μM)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4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5034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app</w:t>
            </w:r>
            <w:r w:rsidRPr="0050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0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</w:t>
            </w:r>
            <w:r w:rsidRPr="0050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-6</w:t>
            </w:r>
            <w:r w:rsidRPr="0050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cm/s)</w:t>
            </w:r>
          </w:p>
        </w:tc>
      </w:tr>
      <w:tr w:rsidR="00B94CC7" w:rsidRPr="0050341B" w:rsidTr="00B94CC7"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0.53 ± 0.15</w:t>
            </w:r>
          </w:p>
        </w:tc>
      </w:tr>
      <w:tr w:rsidR="00B94CC7" w:rsidRPr="0050341B" w:rsidTr="00B94CC7">
        <w:tc>
          <w:tcPr>
            <w:tcW w:w="2419" w:type="dxa"/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10</w:t>
            </w:r>
          </w:p>
        </w:tc>
        <w:tc>
          <w:tcPr>
            <w:tcW w:w="3851" w:type="dxa"/>
            <w:vAlign w:val="center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0.53 ± 0.01</w:t>
            </w:r>
          </w:p>
        </w:tc>
      </w:tr>
      <w:tr w:rsidR="00B94CC7" w:rsidRPr="0050341B" w:rsidTr="00B94CC7">
        <w:tc>
          <w:tcPr>
            <w:tcW w:w="2419" w:type="dxa"/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50</w:t>
            </w:r>
          </w:p>
        </w:tc>
        <w:tc>
          <w:tcPr>
            <w:tcW w:w="3851" w:type="dxa"/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0.20 ± 0.05</w:t>
            </w:r>
          </w:p>
        </w:tc>
      </w:tr>
      <w:tr w:rsidR="00B94CC7" w:rsidRPr="0050341B" w:rsidTr="00B94CC7"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100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0.27 ± 0.07</w:t>
            </w:r>
          </w:p>
        </w:tc>
      </w:tr>
      <w:tr w:rsidR="00B94CC7" w:rsidRPr="00D67A8D" w:rsidTr="00B94CC7">
        <w:tc>
          <w:tcPr>
            <w:tcW w:w="6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CC7" w:rsidRPr="0050341B" w:rsidRDefault="00B94CC7" w:rsidP="00CC15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0341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de-DE"/>
              </w:rPr>
              <w:t>The time point was at 120 min. Data are means ± S.D.</w:t>
            </w:r>
          </w:p>
        </w:tc>
      </w:tr>
    </w:tbl>
    <w:p w:rsidR="00EF5F55" w:rsidRPr="00AE14C3" w:rsidRDefault="00EF5F55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C1363" w:rsidRPr="00AE14C3" w:rsidRDefault="00FC1363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C1363" w:rsidRPr="00AE14C3" w:rsidRDefault="00FC1363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C1363" w:rsidRPr="00AE14C3" w:rsidRDefault="00FC1363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Pr="00AE14C3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67A8D">
        <w:rPr>
          <w:rFonts w:ascii="Times New Roman" w:hAnsi="Times New Roman" w:cs="Times New Roman"/>
          <w:b/>
          <w:sz w:val="20"/>
          <w:lang w:val="en-US"/>
        </w:rPr>
        <w:t>Table S1</w:t>
      </w:r>
      <w:r w:rsidRPr="00AE14C3">
        <w:rPr>
          <w:rFonts w:ascii="Times New Roman" w:hAnsi="Times New Roman" w:cs="Times New Roman"/>
          <w:sz w:val="20"/>
          <w:lang w:val="en-US"/>
        </w:rPr>
        <w:t>: The apparent permeability coefficient (Papp) values of BRP2 with different concentrations</w:t>
      </w:r>
      <w:r w:rsidR="003C3FEA" w:rsidRPr="00AE14C3">
        <w:rPr>
          <w:rFonts w:ascii="Times New Roman" w:hAnsi="Times New Roman" w:cs="Times New Roman"/>
          <w:sz w:val="20"/>
          <w:lang w:val="en-US"/>
        </w:rPr>
        <w:t>.</w:t>
      </w:r>
    </w:p>
    <w:p w:rsidR="00A90C91" w:rsidRDefault="00A90C9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1501" w:rsidRDefault="00CC1501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341B" w:rsidRDefault="0050341B" w:rsidP="00CC15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13FDFC9" wp14:editId="5A78EC92">
            <wp:extent cx="4181838" cy="2108998"/>
            <wp:effectExtent l="0" t="0" r="0" b="0"/>
            <wp:docPr id="2" name="Immagine 2" descr="C:\Users\Administrator\Desktop\Lavori\BUFALA_BUFFALO_\MB2_BRP2_Ricotta_Buffalo_Bufala\Ultime BRP2\Molecular Nutrition and Food Research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avori\BUFALA_BUFFALO_\MB2_BRP2_Ricotta_Buffalo_Bufala\Ultime BRP2\Molecular Nutrition and Food Research\Figure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25" cy="21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01" w:rsidRPr="00CC1501" w:rsidRDefault="00CC1501" w:rsidP="00D67A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lang w:val="en-GB"/>
        </w:rPr>
      </w:pPr>
      <w:r w:rsidRPr="00D67A8D">
        <w:rPr>
          <w:rFonts w:ascii="Times New Roman" w:hAnsi="Times New Roman" w:cs="Times New Roman"/>
          <w:b/>
          <w:sz w:val="20"/>
          <w:lang w:val="en-US"/>
        </w:rPr>
        <w:t>Figure S3:</w:t>
      </w:r>
      <w:r w:rsidRPr="00AE14C3">
        <w:rPr>
          <w:rFonts w:ascii="Times New Roman" w:hAnsi="Times New Roman" w:cs="Times New Roman"/>
          <w:sz w:val="20"/>
          <w:lang w:val="en-US"/>
        </w:rPr>
        <w:t xml:space="preserve"> Fluorescence micrograph of the Caco-2 cell monolayers. Caco-2 cell monolayers treated with BRP2 (50 µM, 2 h) from TEER experiments were stained for tight junction protein expression of zonulin-1 (FITC, green). Nuclei were counterstained with DAPI (blue). Pictures are representative of two independent experiments. Original magnification 200X.</w:t>
      </w:r>
    </w:p>
    <w:p w:rsidR="00CC1501" w:rsidRPr="0050341B" w:rsidRDefault="00EF5F55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03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Appendix S4. Database-driven bioactivity research</w:t>
      </w:r>
    </w:p>
    <w:p w:rsidR="00AE02F3" w:rsidRPr="00AE14C3" w:rsidRDefault="00EF5F55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biological properties of BRP2 were not known as demonstrated by a database-driven bioactivity assessment such as: BIOPEP (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http://www.uwm.edu.pl/biochemia/index.php/pl/biopep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EROP-Moscow (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http://erop.inbi.ras.ru/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PeptideDB (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http://www.peptides.be/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milkAMP (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http://milkampdb.org/home.php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Antimicrobial Peptide Databases (APD2) (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http://aps.unmc.edu/AP/main.php</w:t>
      </w:r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and, Collection of AntiMicrobial Peptide (CAMP) (</w:t>
      </w:r>
      <w:hyperlink r:id="rId8" w:history="1">
        <w:r w:rsidR="003F25A7" w:rsidRPr="00AE14C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http://www.camp.bicnirrh.res.in/</w:t>
        </w:r>
      </w:hyperlink>
      <w:r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3F25A7" w:rsidRPr="00AE14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F25A7" w:rsidRDefault="003F25A7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F25A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Appendix S5.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F25A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ffect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of BRP2 </w:t>
      </w:r>
      <w:r w:rsidRPr="003F25A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on RAC1 and NADPH oxidase </w:t>
      </w:r>
      <w:r w:rsidR="00197A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expression </w:t>
      </w:r>
      <w:r w:rsidR="00197A90" w:rsidRPr="00197A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 intestinal epithelial cell line</w:t>
      </w:r>
    </w:p>
    <w:p w:rsidR="00AE14C3" w:rsidRPr="00AE14C3" w:rsidRDefault="00AE14C3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F25A7" w:rsidRDefault="003F25A7" w:rsidP="003F25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A45FB54" wp14:editId="59C79CF5">
            <wp:extent cx="6052197" cy="2361249"/>
            <wp:effectExtent l="0" t="0" r="5715" b="1270"/>
            <wp:docPr id="3" name="Immagine 3" descr="E:\Utenti\pcampiglia\Desktop\GIACOMO_Pc full\Revisione Oxidative\File Albino\Supplementary Figure IEC-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tenti\pcampiglia\Desktop\GIACOMO_Pc full\Revisione Oxidative\File Albino\Supplementary Figure IEC-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0"/>
                    <a:stretch/>
                  </pic:blipFill>
                  <pic:spPr bwMode="auto">
                    <a:xfrm>
                      <a:off x="0" y="0"/>
                      <a:ext cx="6052813" cy="23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5A7" w:rsidRPr="003F25A7" w:rsidRDefault="003F25A7" w:rsidP="00D67A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Cs w:val="24"/>
          <w:lang w:val="en-GB"/>
        </w:rPr>
      </w:pPr>
      <w:bookmarkStart w:id="12" w:name="OLE_LINK3"/>
      <w:r w:rsidRPr="00D67A8D">
        <w:rPr>
          <w:rFonts w:ascii="Times New Roman" w:hAnsi="Times New Roman" w:cs="Times New Roman"/>
          <w:b/>
          <w:color w:val="FF0000"/>
          <w:sz w:val="20"/>
          <w:lang w:val="en-US"/>
        </w:rPr>
        <w:t>Figure S4</w:t>
      </w:r>
      <w:r w:rsidRPr="00AE14C3">
        <w:rPr>
          <w:rFonts w:ascii="Times New Roman" w:hAnsi="Times New Roman" w:cs="Times New Roman"/>
          <w:color w:val="FF0000"/>
          <w:sz w:val="20"/>
          <w:lang w:val="en-US"/>
        </w:rPr>
        <w:t>: (A) Graphs of NADPH superoxide production in IEC-6 cells measured continuously in presence or absence of BRP2 by using 5 µmol L</w:t>
      </w:r>
      <w:r w:rsidRPr="00AE14C3">
        <w:rPr>
          <w:rFonts w:ascii="Times New Roman" w:hAnsi="Times New Roman" w:cs="Times New Roman"/>
          <w:color w:val="FF0000"/>
          <w:sz w:val="20"/>
          <w:vertAlign w:val="superscript"/>
          <w:lang w:val="en-US"/>
        </w:rPr>
        <w:t>-1</w:t>
      </w:r>
      <w:r w:rsidRPr="00AE14C3">
        <w:rPr>
          <w:rFonts w:ascii="Times New Roman" w:hAnsi="Times New Roman" w:cs="Times New Roman"/>
          <w:color w:val="FF0000"/>
          <w:sz w:val="20"/>
          <w:lang w:val="en-US"/>
        </w:rPr>
        <w:t xml:space="preserve"> lucigenin-enhanced chemiluminescence. Values are mean ± s.e.m., expressed as counts/(mg proteins). (n=4). (B) Representative immunoblot of three independent experiments from pull-down assay of IEC-6 cells for active Rac1 (Rac1-GTP)</w:t>
      </w:r>
      <w:r w:rsidR="00AE14C3" w:rsidRPr="00AE14C3">
        <w:rPr>
          <w:rFonts w:ascii="Times New Roman" w:hAnsi="Times New Roman" w:cs="Times New Roman"/>
          <w:color w:val="FF0000"/>
          <w:sz w:val="20"/>
          <w:lang w:val="en-US"/>
        </w:rPr>
        <w:t>,</w:t>
      </w:r>
      <w:r w:rsidRPr="00AE14C3">
        <w:rPr>
          <w:rFonts w:ascii="Times New Roman" w:hAnsi="Times New Roman" w:cs="Times New Roman"/>
          <w:color w:val="FF0000"/>
          <w:sz w:val="20"/>
          <w:lang w:val="en-US"/>
        </w:rPr>
        <w:t xml:space="preserve"> Ang II: 10</w:t>
      </w:r>
      <w:r w:rsidRPr="00AE14C3">
        <w:rPr>
          <w:rFonts w:ascii="Times New Roman" w:hAnsi="Times New Roman" w:cs="Times New Roman"/>
          <w:color w:val="FF0000"/>
          <w:sz w:val="20"/>
          <w:vertAlign w:val="superscript"/>
          <w:lang w:val="en-US"/>
        </w:rPr>
        <w:t>-5</w:t>
      </w:r>
      <w:r w:rsidR="00AE14C3" w:rsidRPr="00AE14C3">
        <w:rPr>
          <w:rFonts w:ascii="Times New Roman" w:hAnsi="Times New Roman" w:cs="Times New Roman"/>
          <w:color w:val="FF0000"/>
          <w:sz w:val="20"/>
          <w:lang w:val="en-US"/>
        </w:rPr>
        <w:t xml:space="preserve"> M, BRP2: 100 µM</w:t>
      </w:r>
      <w:r w:rsidR="00197A90" w:rsidRPr="00AE14C3">
        <w:rPr>
          <w:rFonts w:ascii="Times New Roman" w:hAnsi="Times New Roman" w:cs="Times New Roman"/>
          <w:color w:val="FF0000"/>
          <w:sz w:val="20"/>
          <w:lang w:val="en-US"/>
        </w:rPr>
        <w:t>. (</w:t>
      </w:r>
      <w:r w:rsidRPr="00AE14C3">
        <w:rPr>
          <w:rFonts w:ascii="Times New Roman" w:hAnsi="Times New Roman" w:cs="Times New Roman"/>
          <w:color w:val="FF0000"/>
          <w:sz w:val="20"/>
          <w:lang w:val="en-US"/>
        </w:rPr>
        <w:t>n = 4</w:t>
      </w:r>
      <w:r w:rsidR="00197A90" w:rsidRPr="00AE14C3">
        <w:rPr>
          <w:rFonts w:ascii="Times New Roman" w:hAnsi="Times New Roman" w:cs="Times New Roman"/>
          <w:color w:val="FF0000"/>
          <w:sz w:val="20"/>
          <w:lang w:val="en-US"/>
        </w:rPr>
        <w:t>)</w:t>
      </w:r>
      <w:r w:rsidRPr="00AE14C3">
        <w:rPr>
          <w:rFonts w:ascii="Times New Roman" w:hAnsi="Times New Roman" w:cs="Times New Roman"/>
          <w:color w:val="FF0000"/>
          <w:sz w:val="20"/>
          <w:lang w:val="en-US"/>
        </w:rPr>
        <w:t>.</w:t>
      </w:r>
    </w:p>
    <w:bookmarkEnd w:id="12"/>
    <w:p w:rsidR="003F25A7" w:rsidRPr="00AE14C3" w:rsidRDefault="003F25A7" w:rsidP="00CC15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F25A7" w:rsidRPr="00AE14C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E"/>
    <w:rsid w:val="000125E7"/>
    <w:rsid w:val="00021282"/>
    <w:rsid w:val="00026DCA"/>
    <w:rsid w:val="000B4FD0"/>
    <w:rsid w:val="000F4DB9"/>
    <w:rsid w:val="00122881"/>
    <w:rsid w:val="00197A90"/>
    <w:rsid w:val="00217225"/>
    <w:rsid w:val="00250201"/>
    <w:rsid w:val="0026559E"/>
    <w:rsid w:val="00276C41"/>
    <w:rsid w:val="00280285"/>
    <w:rsid w:val="002D02D2"/>
    <w:rsid w:val="002D3B09"/>
    <w:rsid w:val="002E1B60"/>
    <w:rsid w:val="002E6D0C"/>
    <w:rsid w:val="00393DD1"/>
    <w:rsid w:val="003B0A46"/>
    <w:rsid w:val="003C3FEA"/>
    <w:rsid w:val="003D26AB"/>
    <w:rsid w:val="003E042D"/>
    <w:rsid w:val="003F0186"/>
    <w:rsid w:val="003F25A7"/>
    <w:rsid w:val="004216BB"/>
    <w:rsid w:val="00444D63"/>
    <w:rsid w:val="004931D1"/>
    <w:rsid w:val="004B696C"/>
    <w:rsid w:val="004D6EE8"/>
    <w:rsid w:val="0050082A"/>
    <w:rsid w:val="0050341B"/>
    <w:rsid w:val="0052565D"/>
    <w:rsid w:val="00567427"/>
    <w:rsid w:val="0057013E"/>
    <w:rsid w:val="005D0EAF"/>
    <w:rsid w:val="005D4D86"/>
    <w:rsid w:val="005F218B"/>
    <w:rsid w:val="00602636"/>
    <w:rsid w:val="00613669"/>
    <w:rsid w:val="0064230E"/>
    <w:rsid w:val="0064542F"/>
    <w:rsid w:val="0065449E"/>
    <w:rsid w:val="006D19AC"/>
    <w:rsid w:val="007111F8"/>
    <w:rsid w:val="00730A17"/>
    <w:rsid w:val="0073488E"/>
    <w:rsid w:val="00751C58"/>
    <w:rsid w:val="00773195"/>
    <w:rsid w:val="0078791E"/>
    <w:rsid w:val="00807849"/>
    <w:rsid w:val="00817679"/>
    <w:rsid w:val="008318C8"/>
    <w:rsid w:val="0084356D"/>
    <w:rsid w:val="0085031D"/>
    <w:rsid w:val="008C0740"/>
    <w:rsid w:val="00932007"/>
    <w:rsid w:val="009E1A70"/>
    <w:rsid w:val="009F38A6"/>
    <w:rsid w:val="00A4465D"/>
    <w:rsid w:val="00A90C91"/>
    <w:rsid w:val="00AE02F3"/>
    <w:rsid w:val="00AE14C3"/>
    <w:rsid w:val="00B352AA"/>
    <w:rsid w:val="00B676C2"/>
    <w:rsid w:val="00B94CC7"/>
    <w:rsid w:val="00C021B9"/>
    <w:rsid w:val="00C02DF3"/>
    <w:rsid w:val="00C512D5"/>
    <w:rsid w:val="00C62146"/>
    <w:rsid w:val="00C63BFE"/>
    <w:rsid w:val="00CA0848"/>
    <w:rsid w:val="00CB1DC4"/>
    <w:rsid w:val="00CC1501"/>
    <w:rsid w:val="00CD4FA2"/>
    <w:rsid w:val="00CF5C9D"/>
    <w:rsid w:val="00D0753B"/>
    <w:rsid w:val="00D2328A"/>
    <w:rsid w:val="00D44C20"/>
    <w:rsid w:val="00D6149D"/>
    <w:rsid w:val="00D63107"/>
    <w:rsid w:val="00D67A8D"/>
    <w:rsid w:val="00D9449F"/>
    <w:rsid w:val="00DA4111"/>
    <w:rsid w:val="00DC7765"/>
    <w:rsid w:val="00E21287"/>
    <w:rsid w:val="00E2254F"/>
    <w:rsid w:val="00E24B2A"/>
    <w:rsid w:val="00E27D07"/>
    <w:rsid w:val="00E47DE3"/>
    <w:rsid w:val="00E57528"/>
    <w:rsid w:val="00E85459"/>
    <w:rsid w:val="00E96070"/>
    <w:rsid w:val="00EE16C7"/>
    <w:rsid w:val="00EF5F55"/>
    <w:rsid w:val="00F50495"/>
    <w:rsid w:val="00FC1363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Article title"/>
    <w:basedOn w:val="Normale"/>
    <w:next w:val="Normale"/>
    <w:link w:val="Titolo1Carattere"/>
    <w:autoRedefine/>
    <w:uiPriority w:val="9"/>
    <w:qFormat/>
    <w:rsid w:val="00CC1501"/>
    <w:pPr>
      <w:keepNext/>
      <w:keepLines/>
      <w:spacing w:before="100" w:beforeAutospacing="1" w:after="100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E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026DC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EF5F55"/>
    <w:rPr>
      <w:color w:val="0000FF" w:themeColor="hyperlink"/>
      <w:u w:val="single"/>
    </w:rPr>
  </w:style>
  <w:style w:type="character" w:customStyle="1" w:styleId="Titolo1Carattere">
    <w:name w:val="Titolo 1 Carattere"/>
    <w:aliases w:val="Article title Carattere"/>
    <w:basedOn w:val="Carpredefinitoparagrafo"/>
    <w:link w:val="Titolo1"/>
    <w:uiPriority w:val="9"/>
    <w:rsid w:val="00CC150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Article title"/>
    <w:basedOn w:val="Normale"/>
    <w:next w:val="Normale"/>
    <w:link w:val="Titolo1Carattere"/>
    <w:autoRedefine/>
    <w:uiPriority w:val="9"/>
    <w:qFormat/>
    <w:rsid w:val="00CC1501"/>
    <w:pPr>
      <w:keepNext/>
      <w:keepLines/>
      <w:spacing w:before="100" w:beforeAutospacing="1" w:after="100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E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026DC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EF5F55"/>
    <w:rPr>
      <w:color w:val="0000FF" w:themeColor="hyperlink"/>
      <w:u w:val="single"/>
    </w:rPr>
  </w:style>
  <w:style w:type="character" w:customStyle="1" w:styleId="Titolo1Carattere">
    <w:name w:val="Titolo 1 Carattere"/>
    <w:aliases w:val="Article title Carattere"/>
    <w:basedOn w:val="Carpredefinitoparagrafo"/>
    <w:link w:val="Titolo1"/>
    <w:uiPriority w:val="9"/>
    <w:rsid w:val="00CC150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.bicnirrh.res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salerno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Pietro Campiglia</cp:lastModifiedBy>
  <cp:revision>2</cp:revision>
  <dcterms:created xsi:type="dcterms:W3CDTF">2019-03-18T15:02:00Z</dcterms:created>
  <dcterms:modified xsi:type="dcterms:W3CDTF">2019-03-18T15:02:00Z</dcterms:modified>
</cp:coreProperties>
</file>