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094" w:rsidRPr="008E120C" w:rsidRDefault="008E120C" w:rsidP="00215D40">
      <w:pPr>
        <w:spacing w:line="360" w:lineRule="auto"/>
        <w:rPr>
          <w:rFonts w:eastAsiaTheme="majorEastAsia"/>
          <w:b/>
          <w:i/>
        </w:rPr>
      </w:pPr>
      <w:r>
        <w:rPr>
          <w:rFonts w:eastAsiaTheme="majorEastAsia"/>
          <w:b/>
          <w:i/>
        </w:rPr>
        <w:t>Supplementary Materials and</w:t>
      </w:r>
      <w:r w:rsidR="001E6094" w:rsidRPr="008E120C">
        <w:rPr>
          <w:rFonts w:eastAsiaTheme="majorEastAsia"/>
          <w:b/>
          <w:i/>
        </w:rPr>
        <w:t xml:space="preserve"> Methods</w:t>
      </w:r>
    </w:p>
    <w:p w:rsidR="001E6094" w:rsidRPr="008E120C" w:rsidRDefault="001E6094" w:rsidP="00215D40">
      <w:pPr>
        <w:spacing w:line="360" w:lineRule="auto"/>
        <w:rPr>
          <w:rFonts w:eastAsiaTheme="majorEastAsia"/>
        </w:rPr>
      </w:pPr>
    </w:p>
    <w:p w:rsidR="001E6094" w:rsidRPr="008E120C" w:rsidRDefault="001E6094" w:rsidP="00215D40">
      <w:pPr>
        <w:spacing w:line="360" w:lineRule="auto"/>
        <w:rPr>
          <w:rFonts w:eastAsiaTheme="majorEastAsia"/>
          <w:i/>
        </w:rPr>
      </w:pPr>
      <w:r w:rsidRPr="008E120C">
        <w:rPr>
          <w:rFonts w:eastAsiaTheme="majorEastAsia"/>
          <w:i/>
        </w:rPr>
        <w:t>Cell culture</w:t>
      </w:r>
    </w:p>
    <w:p w:rsidR="001E6094" w:rsidRPr="008E120C" w:rsidRDefault="001E6094" w:rsidP="00215D40">
      <w:pPr>
        <w:spacing w:line="360" w:lineRule="auto"/>
        <w:ind w:firstLine="840"/>
        <w:rPr>
          <w:rFonts w:eastAsiaTheme="majorEastAsia"/>
        </w:rPr>
      </w:pPr>
      <w:r w:rsidRPr="008E120C">
        <w:rPr>
          <w:rFonts w:eastAsiaTheme="majorEastAsia"/>
        </w:rPr>
        <w:t>Human iPSCs (409B2) were provided by the RIKEN BRC through the National Bio-Resource Project of the MEXT, Japan. hiPSCs were cultured with mTeSR1 (veritas) and iMatrix (Nippi) coated vessels without feeder cells. For assessment of iNCMSCs, 409B2-hiPSCs were used as positive control to detect some PSCs specific markers.</w:t>
      </w:r>
    </w:p>
    <w:p w:rsidR="001E6094" w:rsidRPr="008E120C" w:rsidRDefault="001E6094" w:rsidP="00215D40">
      <w:pPr>
        <w:spacing w:line="360" w:lineRule="auto"/>
        <w:ind w:firstLine="840"/>
        <w:rPr>
          <w:rFonts w:eastAsiaTheme="majorEastAsia"/>
        </w:rPr>
      </w:pPr>
      <w:r w:rsidRPr="008E120C">
        <w:rPr>
          <w:rFonts w:eastAsiaTheme="majorEastAsia"/>
        </w:rPr>
        <w:t xml:space="preserve">KG-1, acute myeloid leukemia cell lines, was provided by the National Institutes of Biomedical Innovation, Health and Nutrition through JCBR Cell Bank, Japan. </w:t>
      </w:r>
      <w:r w:rsidR="00126257" w:rsidRPr="008E120C">
        <w:rPr>
          <w:rFonts w:eastAsiaTheme="majorEastAsia"/>
        </w:rPr>
        <w:t>KG-1 was cultured in 20%FBS-IMDM</w:t>
      </w:r>
      <w:r w:rsidR="004F4853" w:rsidRPr="008E120C">
        <w:rPr>
          <w:rFonts w:eastAsiaTheme="majorEastAsia"/>
        </w:rPr>
        <w:t xml:space="preserve"> (gibco)</w:t>
      </w:r>
      <w:r w:rsidR="00126257" w:rsidRPr="008E120C">
        <w:rPr>
          <w:rFonts w:eastAsiaTheme="majorEastAsia"/>
        </w:rPr>
        <w:t>, and used for positive control of hematopoietic stem cell markers.</w:t>
      </w:r>
    </w:p>
    <w:p w:rsidR="002009C1" w:rsidRPr="007D4249" w:rsidRDefault="002009C1" w:rsidP="00215D40">
      <w:pPr>
        <w:spacing w:line="360" w:lineRule="auto"/>
        <w:ind w:firstLine="840"/>
        <w:rPr>
          <w:rFonts w:eastAsiaTheme="majorEastAsia"/>
        </w:rPr>
      </w:pPr>
      <w:r w:rsidRPr="008E120C">
        <w:rPr>
          <w:rFonts w:eastAsiaTheme="majorEastAsia"/>
        </w:rPr>
        <w:t>Human bone marrow derived MSCs were purchased from LONZA (Catalog # PT-2501, Lot # 0000451491), and cultured in same condition to iNCMSCs. In brief, the medium was 10%FBS-aMEM supplemented with 5 ng/mL bFGF, and passaged with 0.25% Trypsin-EDTA.</w:t>
      </w:r>
      <w:r w:rsidR="007D4249">
        <w:rPr>
          <w:rFonts w:eastAsiaTheme="majorEastAsia"/>
        </w:rPr>
        <w:t xml:space="preserve"> The cells from passage 3 were used for all assays.</w:t>
      </w:r>
    </w:p>
    <w:p w:rsidR="00A041B9" w:rsidRDefault="00A041B9" w:rsidP="00215D40"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br w:type="page"/>
      </w:r>
    </w:p>
    <w:p w:rsidR="00A041B9" w:rsidRDefault="00A041B9" w:rsidP="00215D40">
      <w:pPr>
        <w:spacing w:line="360" w:lineRule="auto"/>
        <w:rPr>
          <w:rFonts w:eastAsiaTheme="majorEastAsia"/>
        </w:rPr>
      </w:pPr>
      <w:r>
        <w:rPr>
          <w:rFonts w:eastAsiaTheme="majorEastAsia" w:hint="eastAsia"/>
        </w:rPr>
        <w:lastRenderedPageBreak/>
        <w:t>Supplemental Table 1</w:t>
      </w:r>
    </w:p>
    <w:p w:rsidR="00212E69" w:rsidRDefault="00A041B9" w:rsidP="00215D40">
      <w:pPr>
        <w:spacing w:line="360" w:lineRule="auto"/>
      </w:pPr>
      <w:r>
        <w:fldChar w:fldCharType="begin"/>
      </w:r>
      <w:r>
        <w:instrText xml:space="preserve"> LINK </w:instrText>
      </w:r>
      <w:r w:rsidR="00A25C52">
        <w:instrText>Excel.Sheet.12</w:instrText>
      </w:r>
      <w:r w:rsidR="00A25C52">
        <w:rPr>
          <w:rFonts w:hint="eastAsia"/>
        </w:rPr>
        <w:instrText xml:space="preserve"> "C:\\Users\\ryota chijimatsu\\Documents\\</w:instrText>
      </w:r>
      <w:r w:rsidR="00A25C52">
        <w:rPr>
          <w:rFonts w:hint="eastAsia"/>
        </w:rPr>
        <w:instrText>生命機能研究科</w:instrText>
      </w:r>
      <w:r w:rsidR="00A25C52">
        <w:rPr>
          <w:rFonts w:hint="eastAsia"/>
        </w:rPr>
        <w:instrText>\\</w:instrText>
      </w:r>
      <w:r w:rsidR="00A25C52">
        <w:rPr>
          <w:rFonts w:hint="eastAsia"/>
        </w:rPr>
        <w:instrText>器官制御外科学</w:instrText>
      </w:r>
      <w:r w:rsidR="00A25C52">
        <w:rPr>
          <w:rFonts w:hint="eastAsia"/>
        </w:rPr>
        <w:instrText>\\</w:instrText>
      </w:r>
      <w:r w:rsidR="00A25C52">
        <w:rPr>
          <w:rFonts w:hint="eastAsia"/>
        </w:rPr>
        <w:instrText>研究</w:instrText>
      </w:r>
      <w:r w:rsidR="00A25C52">
        <w:rPr>
          <w:rFonts w:hint="eastAsia"/>
        </w:rPr>
        <w:instrText>\\TEC\\iPS-NCC\\</w:instrText>
      </w:r>
      <w:r w:rsidR="00A25C52">
        <w:rPr>
          <w:rFonts w:hint="eastAsia"/>
        </w:rPr>
        <w:instrText>論文</w:instrText>
      </w:r>
      <w:r w:rsidR="00A25C52">
        <w:rPr>
          <w:rFonts w:hint="eastAsia"/>
        </w:rPr>
        <w:instrText>-Stem cells international\\Table S1 FACS antibody.xlsx"</w:instrText>
      </w:r>
      <w:r w:rsidR="00A25C52">
        <w:instrText xml:space="preserve"> Sheet1!R2C2:R13C5 </w:instrText>
      </w:r>
      <w:r>
        <w:instrText xml:space="preserve">\a \f 4 \h </w:instrText>
      </w:r>
      <w:r>
        <w:fldChar w:fldCharType="separate"/>
      </w:r>
    </w:p>
    <w:tbl>
      <w:tblPr>
        <w:tblW w:w="752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07"/>
        <w:gridCol w:w="1853"/>
        <w:gridCol w:w="1880"/>
        <w:gridCol w:w="1880"/>
      </w:tblGrid>
      <w:tr w:rsidR="00212E69" w:rsidRPr="00212E69" w:rsidTr="00212E69">
        <w:trPr>
          <w:divId w:val="1181622579"/>
          <w:trHeight w:val="345"/>
        </w:trPr>
        <w:tc>
          <w:tcPr>
            <w:tcW w:w="37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8"/>
                <w:szCs w:val="28"/>
              </w:rPr>
              <w:t>FACS antibodies</w:t>
            </w: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12E69" w:rsidRPr="00212E69" w:rsidTr="00212E69">
        <w:trPr>
          <w:divId w:val="1181622579"/>
          <w:trHeight w:val="270"/>
        </w:trPr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212E69" w:rsidRPr="00212E69" w:rsidTr="00212E69">
        <w:trPr>
          <w:divId w:val="1181622579"/>
          <w:trHeight w:val="499"/>
        </w:trPr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Target (antigen)</w:t>
            </w:r>
          </w:p>
        </w:tc>
        <w:tc>
          <w:tcPr>
            <w:tcW w:w="1853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Conjugate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Company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2"/>
              </w:rPr>
              <w:t>Catalog No.</w:t>
            </w:r>
          </w:p>
        </w:tc>
      </w:tr>
      <w:tr w:rsidR="00212E69" w:rsidRPr="00212E69" w:rsidTr="00212E69">
        <w:trPr>
          <w:divId w:val="1181622579"/>
          <w:trHeight w:val="285"/>
        </w:trPr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CD271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PE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BD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557196</w:t>
            </w:r>
          </w:p>
        </w:tc>
      </w:tr>
      <w:tr w:rsidR="00212E69" w:rsidRPr="00212E69" w:rsidTr="00212E69">
        <w:trPr>
          <w:divId w:val="1181622579"/>
          <w:trHeight w:val="270"/>
        </w:trPr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CD44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FITC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Biolegend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338804</w:t>
            </w:r>
          </w:p>
        </w:tc>
      </w:tr>
      <w:tr w:rsidR="00212E69" w:rsidRPr="00212E69" w:rsidTr="00212E69">
        <w:trPr>
          <w:divId w:val="1181622579"/>
          <w:trHeight w:val="270"/>
        </w:trPr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CD73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PE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Biolegend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344004</w:t>
            </w:r>
          </w:p>
        </w:tc>
      </w:tr>
      <w:tr w:rsidR="00212E69" w:rsidRPr="00212E69" w:rsidTr="00212E69">
        <w:trPr>
          <w:divId w:val="1181622579"/>
          <w:trHeight w:val="270"/>
        </w:trPr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CD90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FITC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Biolegend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328108</w:t>
            </w:r>
          </w:p>
        </w:tc>
      </w:tr>
      <w:tr w:rsidR="00212E69" w:rsidRPr="00212E69" w:rsidTr="00212E69">
        <w:trPr>
          <w:divId w:val="1181622579"/>
          <w:trHeight w:val="270"/>
        </w:trPr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CD105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APC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Biolegend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323208</w:t>
            </w:r>
          </w:p>
        </w:tc>
      </w:tr>
      <w:tr w:rsidR="00212E69" w:rsidRPr="00212E69" w:rsidTr="00212E69">
        <w:trPr>
          <w:divId w:val="1181622579"/>
          <w:trHeight w:val="270"/>
        </w:trPr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CD34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FITC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BD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555821</w:t>
            </w:r>
          </w:p>
        </w:tc>
      </w:tr>
      <w:tr w:rsidR="00212E69" w:rsidRPr="00212E69" w:rsidTr="00212E69">
        <w:trPr>
          <w:divId w:val="1181622579"/>
          <w:trHeight w:val="270"/>
        </w:trPr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CD45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PE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Biolegend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304007</w:t>
            </w:r>
          </w:p>
        </w:tc>
      </w:tr>
      <w:tr w:rsidR="00212E69" w:rsidRPr="00212E69" w:rsidTr="00212E69">
        <w:trPr>
          <w:divId w:val="1181622579"/>
          <w:trHeight w:val="270"/>
        </w:trPr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TRA-1-60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Alexa Fluor 488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Biolegend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330614</w:t>
            </w:r>
          </w:p>
        </w:tc>
      </w:tr>
      <w:tr w:rsidR="00212E69" w:rsidRPr="00212E69" w:rsidTr="00212E69">
        <w:trPr>
          <w:divId w:val="1181622579"/>
          <w:trHeight w:val="270"/>
        </w:trPr>
        <w:tc>
          <w:tcPr>
            <w:tcW w:w="190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rBC2LCN</w:t>
            </w:r>
          </w:p>
        </w:tc>
        <w:tc>
          <w:tcPr>
            <w:tcW w:w="18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FITC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Wako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212E69" w:rsidRPr="00212E69" w:rsidRDefault="00212E69" w:rsidP="00212E6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212E6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180-02991</w:t>
            </w:r>
          </w:p>
        </w:tc>
      </w:tr>
    </w:tbl>
    <w:p w:rsidR="00A041B9" w:rsidRDefault="00A041B9" w:rsidP="00215D40"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fldChar w:fldCharType="end"/>
      </w:r>
    </w:p>
    <w:p w:rsidR="00A041B9" w:rsidRDefault="00A041B9" w:rsidP="00215D40"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br w:type="page"/>
      </w:r>
    </w:p>
    <w:p w:rsidR="00A041B9" w:rsidRDefault="00A041B9" w:rsidP="00215D40"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lastRenderedPageBreak/>
        <w:t>Supplemental table 2</w:t>
      </w:r>
    </w:p>
    <w:p w:rsidR="00A041B9" w:rsidRDefault="00A041B9" w:rsidP="00215D40">
      <w:pPr>
        <w:spacing w:line="360" w:lineRule="auto"/>
        <w:rPr>
          <w:rFonts w:eastAsiaTheme="majorEastAsia"/>
        </w:rPr>
      </w:pPr>
      <w:r w:rsidRPr="00A041B9">
        <w:rPr>
          <w:noProof/>
        </w:rPr>
        <w:drawing>
          <wp:inline distT="0" distB="0" distL="0" distR="0">
            <wp:extent cx="5400040" cy="1433679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33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1B9" w:rsidRDefault="00A041B9" w:rsidP="00215D40"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br w:type="page"/>
      </w:r>
    </w:p>
    <w:p w:rsidR="00A041B9" w:rsidRDefault="00A041B9" w:rsidP="00215D40">
      <w:pPr>
        <w:spacing w:line="360" w:lineRule="auto"/>
        <w:rPr>
          <w:rFonts w:eastAsiaTheme="majorEastAsia"/>
        </w:rPr>
      </w:pPr>
      <w:r>
        <w:rPr>
          <w:rFonts w:eastAsiaTheme="majorEastAsia" w:hint="eastAsia"/>
        </w:rPr>
        <w:lastRenderedPageBreak/>
        <w:t>Supplemental table 3</w:t>
      </w:r>
    </w:p>
    <w:p w:rsidR="00A041B9" w:rsidRDefault="00A041B9" w:rsidP="00215D40">
      <w:pPr>
        <w:spacing w:line="360" w:lineRule="auto"/>
        <w:rPr>
          <w:rFonts w:eastAsiaTheme="majorEastAsia"/>
        </w:rPr>
      </w:pPr>
      <w:r w:rsidRPr="00A041B9">
        <w:rPr>
          <w:noProof/>
        </w:rPr>
        <w:drawing>
          <wp:inline distT="0" distB="0" distL="0" distR="0">
            <wp:extent cx="4037330" cy="6038215"/>
            <wp:effectExtent l="0" t="0" r="1270" b="63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603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1B9" w:rsidRPr="008E120C" w:rsidRDefault="00A041B9" w:rsidP="00215D40"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br w:type="page"/>
      </w:r>
    </w:p>
    <w:p w:rsidR="00A44468" w:rsidRPr="008E120C" w:rsidRDefault="00A44468" w:rsidP="00A44468">
      <w:pPr>
        <w:spacing w:line="360" w:lineRule="auto"/>
        <w:rPr>
          <w:rFonts w:eastAsiaTheme="majorEastAsia"/>
          <w:b/>
          <w:i/>
        </w:rPr>
      </w:pPr>
      <w:r w:rsidRPr="008E120C">
        <w:rPr>
          <w:rFonts w:eastAsiaTheme="majorEastAsia"/>
          <w:b/>
          <w:i/>
        </w:rPr>
        <w:lastRenderedPageBreak/>
        <w:t>Supplementary Figure legend</w:t>
      </w:r>
      <w:r>
        <w:rPr>
          <w:rFonts w:eastAsiaTheme="majorEastAsia"/>
          <w:b/>
          <w:i/>
        </w:rPr>
        <w:t>s</w:t>
      </w:r>
    </w:p>
    <w:p w:rsidR="00A44468" w:rsidRPr="008E120C" w:rsidRDefault="00A44468" w:rsidP="00A44468">
      <w:pPr>
        <w:spacing w:line="360" w:lineRule="auto"/>
        <w:rPr>
          <w:rFonts w:eastAsiaTheme="majorEastAsia"/>
        </w:rPr>
      </w:pPr>
    </w:p>
    <w:p w:rsidR="00212E69" w:rsidRDefault="00A44468" w:rsidP="00A44468">
      <w:pPr>
        <w:spacing w:line="360" w:lineRule="auto"/>
        <w:rPr>
          <w:rFonts w:eastAsiaTheme="majorEastAsia"/>
          <w:b/>
        </w:rPr>
      </w:pPr>
      <w:r w:rsidRPr="008E120C">
        <w:rPr>
          <w:rFonts w:eastAsiaTheme="majorEastAsia"/>
        </w:rPr>
        <w:t xml:space="preserve">Fig.S1 </w:t>
      </w:r>
      <w:r w:rsidRPr="008E120C">
        <w:rPr>
          <w:rFonts w:eastAsiaTheme="majorEastAsia"/>
          <w:b/>
        </w:rPr>
        <w:t xml:space="preserve">NC/MSC marker analysis for long passaged iNCMSCs (P4, P8) </w:t>
      </w:r>
    </w:p>
    <w:p w:rsidR="00A44468" w:rsidRPr="008E120C" w:rsidRDefault="00A44468" w:rsidP="00A44468">
      <w:pPr>
        <w:spacing w:line="360" w:lineRule="auto"/>
        <w:rPr>
          <w:rFonts w:eastAsiaTheme="majorEastAsia"/>
        </w:rPr>
      </w:pPr>
      <w:r w:rsidRPr="00A431A3">
        <w:rPr>
          <w:rFonts w:eastAsiaTheme="majorEastAsia"/>
          <w:b/>
        </w:rPr>
        <w:t>(A)</w:t>
      </w:r>
      <w:r w:rsidR="00A25C52">
        <w:rPr>
          <w:rFonts w:eastAsiaTheme="majorEastAsia"/>
        </w:rPr>
        <w:t>: FACS analysis of neural crest and mesenchymal stem cells</w:t>
      </w:r>
      <w:r w:rsidRPr="008E120C">
        <w:rPr>
          <w:rFonts w:eastAsiaTheme="majorEastAsia"/>
        </w:rPr>
        <w:t xml:space="preserve"> surface </w:t>
      </w:r>
      <w:r w:rsidR="00212E69">
        <w:rPr>
          <w:rFonts w:eastAsiaTheme="majorEastAsia"/>
        </w:rPr>
        <w:t>markers in iNCMSCs (P4, P8)</w:t>
      </w:r>
      <w:r w:rsidRPr="008E120C">
        <w:rPr>
          <w:rFonts w:eastAsiaTheme="majorEastAsia"/>
        </w:rPr>
        <w:t>.</w:t>
      </w:r>
    </w:p>
    <w:p w:rsidR="00A44468" w:rsidRDefault="00A44468" w:rsidP="00A44468">
      <w:pPr>
        <w:spacing w:line="360" w:lineRule="auto"/>
        <w:rPr>
          <w:rFonts w:eastAsiaTheme="majorEastAsia"/>
        </w:rPr>
      </w:pPr>
      <w:r w:rsidRPr="00A431A3">
        <w:rPr>
          <w:rFonts w:eastAsiaTheme="majorEastAsia"/>
          <w:b/>
        </w:rPr>
        <w:t>(B)</w:t>
      </w:r>
      <w:r w:rsidRPr="008E120C">
        <w:rPr>
          <w:rFonts w:eastAsiaTheme="majorEastAsia"/>
        </w:rPr>
        <w:t>: Positive controls of CD34 and CD45 using KG-1 which is acute myeloid leukemia cell lines.</w:t>
      </w:r>
    </w:p>
    <w:p w:rsidR="00A44468" w:rsidRPr="008E120C" w:rsidRDefault="00A44468" w:rsidP="00A44468"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Abbreviation: iNCMSCs, induced neural crest</w:t>
      </w:r>
      <w:r w:rsidRPr="00A431A3">
        <w:rPr>
          <w:rFonts w:eastAsiaTheme="majorEastAsia"/>
        </w:rPr>
        <w:t xml:space="preserve"> derived mesenchymal stem cells</w:t>
      </w:r>
      <w:r>
        <w:rPr>
          <w:rFonts w:eastAsiaTheme="majorEastAsia"/>
        </w:rPr>
        <w:t>; BM-MSCs, bone marrow derived mesenchymal stem cells</w:t>
      </w:r>
      <w:r w:rsidRPr="00A431A3">
        <w:rPr>
          <w:rFonts w:eastAsiaTheme="majorEastAsia"/>
        </w:rPr>
        <w:t>.</w:t>
      </w:r>
    </w:p>
    <w:p w:rsidR="00A44468" w:rsidRPr="008E120C" w:rsidRDefault="00A44468" w:rsidP="00A44468">
      <w:pPr>
        <w:spacing w:line="360" w:lineRule="auto"/>
        <w:rPr>
          <w:rFonts w:eastAsiaTheme="majorEastAsia"/>
        </w:rPr>
      </w:pPr>
    </w:p>
    <w:p w:rsidR="00A44468" w:rsidRPr="008E120C" w:rsidRDefault="00A44468" w:rsidP="00A44468">
      <w:pPr>
        <w:spacing w:line="360" w:lineRule="auto"/>
        <w:rPr>
          <w:rFonts w:eastAsiaTheme="majorEastAsia"/>
          <w:b/>
        </w:rPr>
      </w:pPr>
      <w:r w:rsidRPr="008E120C">
        <w:rPr>
          <w:rFonts w:eastAsiaTheme="majorEastAsia"/>
        </w:rPr>
        <w:t xml:space="preserve">Fig.S2 </w:t>
      </w:r>
      <w:r w:rsidRPr="008E120C">
        <w:rPr>
          <w:rFonts w:eastAsiaTheme="majorEastAsia"/>
          <w:b/>
        </w:rPr>
        <w:t>iNCMSCs expanded without bFGF sustained CD90 expression.</w:t>
      </w:r>
    </w:p>
    <w:p w:rsidR="00A44468" w:rsidRPr="008E120C" w:rsidRDefault="00A44468" w:rsidP="00A44468">
      <w:pPr>
        <w:spacing w:line="360" w:lineRule="auto"/>
        <w:rPr>
          <w:rFonts w:eastAsiaTheme="majorEastAsia"/>
        </w:rPr>
      </w:pPr>
      <w:r w:rsidRPr="00A431A3">
        <w:rPr>
          <w:rFonts w:eastAsiaTheme="majorEastAsia"/>
          <w:b/>
        </w:rPr>
        <w:t>(A):</w:t>
      </w:r>
      <w:r w:rsidRPr="008E120C">
        <w:rPr>
          <w:rFonts w:eastAsiaTheme="majorEastAsia"/>
        </w:rPr>
        <w:t xml:space="preserve"> Cell morphology of iNCMSCs at P4 expanded with or without bFGF. Scale bar</w:t>
      </w:r>
      <w:r w:rsidR="0092629F">
        <w:rPr>
          <w:rFonts w:eastAsiaTheme="majorEastAsia"/>
        </w:rPr>
        <w:t>s</w:t>
      </w:r>
      <w:r w:rsidRPr="008E120C">
        <w:rPr>
          <w:rFonts w:eastAsiaTheme="majorEastAsia"/>
        </w:rPr>
        <w:t xml:space="preserve"> = 100 μm.</w:t>
      </w:r>
    </w:p>
    <w:p w:rsidR="00A44468" w:rsidRPr="008E120C" w:rsidRDefault="00A44468" w:rsidP="00A44468">
      <w:pPr>
        <w:spacing w:line="360" w:lineRule="auto"/>
        <w:rPr>
          <w:rFonts w:eastAsiaTheme="majorEastAsia"/>
        </w:rPr>
      </w:pPr>
      <w:r w:rsidRPr="00A431A3">
        <w:rPr>
          <w:rFonts w:eastAsiaTheme="majorEastAsia"/>
          <w:b/>
        </w:rPr>
        <w:t>(B)</w:t>
      </w:r>
      <w:r>
        <w:rPr>
          <w:rFonts w:eastAsiaTheme="majorEastAsia"/>
        </w:rPr>
        <w:t>:</w:t>
      </w:r>
      <w:r w:rsidRPr="008E120C">
        <w:rPr>
          <w:rFonts w:eastAsiaTheme="majorEastAsia"/>
        </w:rPr>
        <w:t xml:space="preserve"> FACS analysis of CD90 of iNCMSCs at P4 expanded with or without bFGF.</w:t>
      </w:r>
    </w:p>
    <w:p w:rsidR="00A44468" w:rsidRPr="008E120C" w:rsidRDefault="00A44468" w:rsidP="00A44468">
      <w:pPr>
        <w:spacing w:line="360" w:lineRule="auto"/>
        <w:rPr>
          <w:rFonts w:eastAsiaTheme="majorEastAsia"/>
        </w:rPr>
      </w:pPr>
      <w:r w:rsidRPr="00A431A3">
        <w:rPr>
          <w:rFonts w:eastAsiaTheme="majorEastAsia"/>
          <w:b/>
        </w:rPr>
        <w:t>(C)</w:t>
      </w:r>
      <w:r>
        <w:rPr>
          <w:rFonts w:eastAsiaTheme="majorEastAsia"/>
        </w:rPr>
        <w:t>:</w:t>
      </w:r>
      <w:r w:rsidRPr="008E120C">
        <w:rPr>
          <w:rFonts w:eastAsiaTheme="majorEastAsia"/>
        </w:rPr>
        <w:t xml:space="preserve"> CD90 positive cell rate during expansion with or without bFGF. Each symbol represents each passage.</w:t>
      </w:r>
    </w:p>
    <w:p w:rsidR="00A44468" w:rsidRDefault="00A44468" w:rsidP="00A44468">
      <w:pPr>
        <w:spacing w:line="360" w:lineRule="auto"/>
        <w:rPr>
          <w:rFonts w:eastAsiaTheme="majorEastAsia"/>
        </w:rPr>
      </w:pPr>
      <w:r>
        <w:rPr>
          <w:rFonts w:eastAsiaTheme="majorEastAsia" w:hint="eastAsia"/>
        </w:rPr>
        <w:t>Abbreviation: bFGF, basic fibroblast growth factor.</w:t>
      </w:r>
    </w:p>
    <w:p w:rsidR="00A44468" w:rsidRPr="00A431A3" w:rsidRDefault="00A44468" w:rsidP="00A44468">
      <w:pPr>
        <w:spacing w:line="360" w:lineRule="auto"/>
        <w:rPr>
          <w:rFonts w:eastAsiaTheme="majorEastAsia"/>
        </w:rPr>
      </w:pPr>
    </w:p>
    <w:p w:rsidR="00A44468" w:rsidRPr="008E120C" w:rsidRDefault="00A44468" w:rsidP="00A44468">
      <w:pPr>
        <w:spacing w:line="360" w:lineRule="auto"/>
        <w:rPr>
          <w:rFonts w:eastAsiaTheme="majorEastAsia"/>
          <w:b/>
        </w:rPr>
      </w:pPr>
      <w:r w:rsidRPr="008E120C">
        <w:rPr>
          <w:rFonts w:eastAsiaTheme="majorEastAsia"/>
        </w:rPr>
        <w:t xml:space="preserve">Fig.S3 </w:t>
      </w:r>
      <w:r w:rsidRPr="008E120C">
        <w:rPr>
          <w:rFonts w:eastAsiaTheme="majorEastAsia"/>
          <w:b/>
        </w:rPr>
        <w:t xml:space="preserve">The properties of human BM-MSCs </w:t>
      </w:r>
      <w:r w:rsidRPr="0003460D">
        <w:rPr>
          <w:rFonts w:eastAsiaTheme="majorEastAsia"/>
          <w:b/>
          <w:i/>
        </w:rPr>
        <w:t>in vitro</w:t>
      </w:r>
      <w:r w:rsidRPr="008E120C">
        <w:rPr>
          <w:rFonts w:eastAsiaTheme="majorEastAsia"/>
          <w:b/>
        </w:rPr>
        <w:t>.</w:t>
      </w:r>
    </w:p>
    <w:p w:rsidR="00A44468" w:rsidRPr="008E120C" w:rsidRDefault="00A44468" w:rsidP="00A44468">
      <w:pPr>
        <w:spacing w:line="360" w:lineRule="auto"/>
        <w:rPr>
          <w:rFonts w:eastAsiaTheme="majorEastAsia"/>
        </w:rPr>
      </w:pPr>
      <w:r w:rsidRPr="00A431A3">
        <w:rPr>
          <w:rFonts w:eastAsiaTheme="majorEastAsia"/>
          <w:b/>
        </w:rPr>
        <w:t>(A)</w:t>
      </w:r>
      <w:r w:rsidRPr="008E120C">
        <w:rPr>
          <w:rFonts w:eastAsiaTheme="majorEastAsia"/>
        </w:rPr>
        <w:t>: Cell morphology of human BM-MSCs passaged twice with 10%FBS-aMEM, 5 ng/mL bFGF.</w:t>
      </w:r>
    </w:p>
    <w:p w:rsidR="00A44468" w:rsidRPr="008E120C" w:rsidRDefault="00A44468" w:rsidP="00A44468">
      <w:pPr>
        <w:spacing w:line="360" w:lineRule="auto"/>
        <w:rPr>
          <w:rFonts w:eastAsiaTheme="majorEastAsia"/>
        </w:rPr>
      </w:pPr>
      <w:r w:rsidRPr="00A431A3">
        <w:rPr>
          <w:rFonts w:eastAsiaTheme="majorEastAsia"/>
          <w:b/>
        </w:rPr>
        <w:t>(B)</w:t>
      </w:r>
      <w:r w:rsidRPr="008E120C">
        <w:rPr>
          <w:rFonts w:eastAsiaTheme="majorEastAsia"/>
        </w:rPr>
        <w:t>: Oil red staining of human BM-MSCs cultured in adipogenesis medium at day 9.</w:t>
      </w:r>
    </w:p>
    <w:p w:rsidR="00A44468" w:rsidRPr="008E120C" w:rsidRDefault="00A44468" w:rsidP="00A44468">
      <w:pPr>
        <w:spacing w:line="360" w:lineRule="auto"/>
        <w:rPr>
          <w:rFonts w:eastAsiaTheme="majorEastAsia"/>
        </w:rPr>
      </w:pPr>
      <w:r w:rsidRPr="00A431A3">
        <w:rPr>
          <w:rFonts w:eastAsiaTheme="majorEastAsia"/>
          <w:b/>
        </w:rPr>
        <w:t>(C,D)</w:t>
      </w:r>
      <w:r w:rsidRPr="008E120C">
        <w:rPr>
          <w:rFonts w:eastAsiaTheme="majorEastAsia"/>
        </w:rPr>
        <w:t xml:space="preserve">: Osteogenesis of human BM-MSCs cultured in osteogenesis medium. ALP staining at day 7 </w:t>
      </w:r>
      <w:r w:rsidRPr="00A431A3">
        <w:rPr>
          <w:rFonts w:eastAsiaTheme="majorEastAsia"/>
          <w:b/>
        </w:rPr>
        <w:t>(C)</w:t>
      </w:r>
      <w:r w:rsidRPr="008E120C">
        <w:rPr>
          <w:rFonts w:eastAsiaTheme="majorEastAsia"/>
        </w:rPr>
        <w:t xml:space="preserve"> and Alizarin Red S staining at day</w:t>
      </w:r>
      <w:r w:rsidR="00A25C52">
        <w:rPr>
          <w:rFonts w:eastAsiaTheme="majorEastAsia"/>
        </w:rPr>
        <w:t xml:space="preserve"> </w:t>
      </w:r>
      <w:r w:rsidRPr="008E120C">
        <w:rPr>
          <w:rFonts w:eastAsiaTheme="majorEastAsia"/>
        </w:rPr>
        <w:t xml:space="preserve">14 </w:t>
      </w:r>
      <w:r w:rsidRPr="00A431A3">
        <w:rPr>
          <w:rFonts w:eastAsiaTheme="majorEastAsia"/>
          <w:b/>
        </w:rPr>
        <w:t>(D)</w:t>
      </w:r>
      <w:r w:rsidRPr="008E120C">
        <w:rPr>
          <w:rFonts w:eastAsiaTheme="majorEastAsia"/>
        </w:rPr>
        <w:t>.</w:t>
      </w:r>
    </w:p>
    <w:p w:rsidR="00A44468" w:rsidRPr="008E120C" w:rsidRDefault="00A44468" w:rsidP="00A44468">
      <w:pPr>
        <w:spacing w:line="360" w:lineRule="auto"/>
        <w:rPr>
          <w:rFonts w:eastAsiaTheme="majorEastAsia"/>
        </w:rPr>
      </w:pPr>
      <w:r w:rsidRPr="00A431A3">
        <w:rPr>
          <w:rFonts w:eastAsiaTheme="majorEastAsia"/>
          <w:b/>
        </w:rPr>
        <w:lastRenderedPageBreak/>
        <w:t>(E)</w:t>
      </w:r>
      <w:r w:rsidRPr="008E120C">
        <w:rPr>
          <w:rFonts w:eastAsiaTheme="majorEastAsia"/>
        </w:rPr>
        <w:t>: Saf-O staining of chondrogenic pellet cultured with TGFb3 and BMP2 at day 28.</w:t>
      </w:r>
    </w:p>
    <w:p w:rsidR="00A44468" w:rsidRPr="008E120C" w:rsidRDefault="00A44468" w:rsidP="00A44468">
      <w:pPr>
        <w:spacing w:line="360" w:lineRule="auto"/>
        <w:rPr>
          <w:rFonts w:eastAsiaTheme="majorEastAsia"/>
        </w:rPr>
      </w:pPr>
      <w:r w:rsidRPr="00A431A3">
        <w:rPr>
          <w:rFonts w:eastAsiaTheme="majorEastAsia"/>
          <w:b/>
        </w:rPr>
        <w:t>(F)</w:t>
      </w:r>
      <w:r w:rsidRPr="008E120C">
        <w:rPr>
          <w:rFonts w:eastAsiaTheme="majorEastAsia"/>
        </w:rPr>
        <w:t>: The gross appearance of hBM-TEC developed in 24 well plate at day 7.</w:t>
      </w:r>
    </w:p>
    <w:p w:rsidR="00A44468" w:rsidRPr="00A431A3" w:rsidRDefault="00A44468" w:rsidP="00A44468">
      <w:pPr>
        <w:spacing w:line="360" w:lineRule="auto"/>
        <w:rPr>
          <w:rFonts w:eastAsiaTheme="majorEastAsia"/>
        </w:rPr>
      </w:pPr>
      <w:r w:rsidRPr="008E120C">
        <w:rPr>
          <w:rFonts w:eastAsiaTheme="majorEastAsia"/>
        </w:rPr>
        <w:t>Scale bars = 100 μm</w:t>
      </w:r>
      <w:r>
        <w:rPr>
          <w:rFonts w:eastAsiaTheme="majorEastAsia"/>
        </w:rPr>
        <w:t xml:space="preserve"> </w:t>
      </w:r>
      <w:r w:rsidRPr="00A431A3">
        <w:rPr>
          <w:rFonts w:eastAsiaTheme="majorEastAsia"/>
          <w:b/>
        </w:rPr>
        <w:t>(A-D)</w:t>
      </w:r>
      <w:r>
        <w:rPr>
          <w:rFonts w:eastAsiaTheme="majorEastAsia"/>
        </w:rPr>
        <w:t xml:space="preserve"> and 500 </w:t>
      </w:r>
      <w:r>
        <w:rPr>
          <w:rFonts w:eastAsiaTheme="majorEastAsia" w:hint="eastAsia"/>
        </w:rPr>
        <w:t>μ</w:t>
      </w:r>
      <w:r>
        <w:rPr>
          <w:rFonts w:eastAsiaTheme="majorEastAsia" w:hint="eastAsia"/>
        </w:rPr>
        <w:t xml:space="preserve">m </w:t>
      </w:r>
      <w:r w:rsidRPr="00A431A3">
        <w:rPr>
          <w:rFonts w:eastAsiaTheme="majorEastAsia" w:hint="eastAsia"/>
          <w:b/>
        </w:rPr>
        <w:t>(E)</w:t>
      </w:r>
      <w:r w:rsidRPr="008E120C">
        <w:rPr>
          <w:rFonts w:eastAsiaTheme="majorEastAsia"/>
        </w:rPr>
        <w:t>.</w:t>
      </w:r>
    </w:p>
    <w:p w:rsidR="00A44468" w:rsidRDefault="00A44468" w:rsidP="00A44468">
      <w:pPr>
        <w:spacing w:line="360" w:lineRule="auto"/>
        <w:rPr>
          <w:rFonts w:eastAsiaTheme="majorEastAsia"/>
        </w:rPr>
      </w:pPr>
    </w:p>
    <w:p w:rsidR="00A44468" w:rsidRDefault="00A44468" w:rsidP="00A44468">
      <w:pPr>
        <w:spacing w:line="360" w:lineRule="auto"/>
        <w:rPr>
          <w:rFonts w:eastAsiaTheme="majorEastAsia"/>
        </w:rPr>
      </w:pPr>
      <w:r>
        <w:rPr>
          <w:rFonts w:eastAsiaTheme="majorEastAsia" w:hint="eastAsia"/>
        </w:rPr>
        <w:t xml:space="preserve">Fig.S4 </w:t>
      </w:r>
      <w:r w:rsidRPr="00215D40">
        <w:rPr>
          <w:rFonts w:eastAsiaTheme="majorEastAsia"/>
          <w:b/>
        </w:rPr>
        <w:t>Immunostaining for collagens.</w:t>
      </w:r>
    </w:p>
    <w:p w:rsidR="00A44468" w:rsidRDefault="00A44468" w:rsidP="00A44468">
      <w:pPr>
        <w:spacing w:line="360" w:lineRule="auto"/>
        <w:rPr>
          <w:rFonts w:eastAsiaTheme="majorEastAsia"/>
        </w:rPr>
      </w:pPr>
      <w:r w:rsidRPr="00215D40">
        <w:rPr>
          <w:rFonts w:eastAsiaTheme="majorEastAsia"/>
          <w:b/>
        </w:rPr>
        <w:t>(A-C)</w:t>
      </w:r>
      <w:r>
        <w:rPr>
          <w:rFonts w:eastAsiaTheme="majorEastAsia"/>
        </w:rPr>
        <w:t>: Immunostaining for COL1 and COL2 for each group at 1 month and 2 month.</w:t>
      </w:r>
    </w:p>
    <w:p w:rsidR="00A44468" w:rsidRDefault="00A44468" w:rsidP="00A44468">
      <w:pPr>
        <w:spacing w:line="360" w:lineRule="auto"/>
        <w:rPr>
          <w:rFonts w:eastAsiaTheme="majorEastAsia"/>
        </w:rPr>
      </w:pPr>
      <w:r w:rsidRPr="00A431A3">
        <w:rPr>
          <w:rFonts w:eastAsiaTheme="majorEastAsia"/>
        </w:rPr>
        <w:t>Right panels were ma</w:t>
      </w:r>
      <w:r>
        <w:rPr>
          <w:rFonts w:eastAsiaTheme="majorEastAsia"/>
        </w:rPr>
        <w:t>gnification image of black arrow</w:t>
      </w:r>
      <w:r w:rsidRPr="00A431A3">
        <w:rPr>
          <w:rFonts w:eastAsiaTheme="majorEastAsia"/>
        </w:rPr>
        <w:t xml:space="preserve"> of left panels. Scale bar</w:t>
      </w:r>
      <w:r>
        <w:rPr>
          <w:rFonts w:eastAsiaTheme="majorEastAsia"/>
        </w:rPr>
        <w:t>s = 500 μm and 100 μm (high magnified images.</w:t>
      </w:r>
      <w:r w:rsidR="00212E69">
        <w:rPr>
          <w:rFonts w:eastAsiaTheme="majorEastAsia"/>
        </w:rPr>
        <w:t>)</w:t>
      </w:r>
    </w:p>
    <w:p w:rsidR="00A44468" w:rsidRDefault="00212E69" w:rsidP="00A44468"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 xml:space="preserve">Abbreviations: COL1, </w:t>
      </w:r>
      <w:r w:rsidR="00A44468" w:rsidRPr="00A431A3">
        <w:rPr>
          <w:rFonts w:eastAsiaTheme="majorEastAsia"/>
        </w:rPr>
        <w:t>type 1</w:t>
      </w:r>
      <w:r>
        <w:rPr>
          <w:rFonts w:eastAsiaTheme="majorEastAsia"/>
        </w:rPr>
        <w:t xml:space="preserve"> collagen; COL2, </w:t>
      </w:r>
      <w:r w:rsidR="00A44468" w:rsidRPr="00A431A3">
        <w:rPr>
          <w:rFonts w:eastAsiaTheme="majorEastAsia"/>
        </w:rPr>
        <w:t>type 2</w:t>
      </w:r>
      <w:r>
        <w:rPr>
          <w:rFonts w:eastAsiaTheme="majorEastAsia"/>
        </w:rPr>
        <w:t xml:space="preserve"> collagen</w:t>
      </w:r>
      <w:r w:rsidR="00A44468" w:rsidRPr="00A431A3">
        <w:rPr>
          <w:rFonts w:eastAsiaTheme="majorEastAsia"/>
        </w:rPr>
        <w:t>; TEC, tissue engineered construct; hBM, human bone marrow derived mesenchymal stem cells; iNCMSC, induced neural crest derived mesenchymal stem cells.</w:t>
      </w:r>
    </w:p>
    <w:p w:rsidR="00A44468" w:rsidRPr="008E120C" w:rsidRDefault="00A44468" w:rsidP="00A44468">
      <w:pPr>
        <w:spacing w:line="360" w:lineRule="auto"/>
        <w:rPr>
          <w:rFonts w:eastAsiaTheme="majorEastAsia"/>
        </w:rPr>
      </w:pPr>
    </w:p>
    <w:p w:rsidR="00A44468" w:rsidRPr="008E120C" w:rsidRDefault="00A44468" w:rsidP="00A44468">
      <w:pPr>
        <w:spacing w:line="360" w:lineRule="auto"/>
        <w:rPr>
          <w:rFonts w:eastAsiaTheme="majorEastAsia"/>
        </w:rPr>
      </w:pPr>
      <w:r>
        <w:rPr>
          <w:rFonts w:eastAsiaTheme="majorEastAsia"/>
        </w:rPr>
        <w:t>Fig.S5</w:t>
      </w:r>
      <w:r w:rsidRPr="008E120C">
        <w:rPr>
          <w:rFonts w:eastAsiaTheme="majorEastAsia"/>
        </w:rPr>
        <w:t xml:space="preserve"> </w:t>
      </w:r>
      <w:r w:rsidRPr="008E120C">
        <w:rPr>
          <w:rFonts w:eastAsiaTheme="majorEastAsia"/>
          <w:b/>
        </w:rPr>
        <w:t xml:space="preserve">Tumorigenesis of iNCMSCs after </w:t>
      </w:r>
      <w:r w:rsidRPr="0003460D">
        <w:rPr>
          <w:rFonts w:eastAsiaTheme="majorEastAsia"/>
          <w:b/>
          <w:i/>
        </w:rPr>
        <w:t>in vivo</w:t>
      </w:r>
      <w:r w:rsidRPr="008E120C">
        <w:rPr>
          <w:rFonts w:eastAsiaTheme="majorEastAsia"/>
          <w:b/>
        </w:rPr>
        <w:t xml:space="preserve"> transplantation.</w:t>
      </w:r>
    </w:p>
    <w:p w:rsidR="00A44468" w:rsidRPr="008E120C" w:rsidRDefault="00A44468" w:rsidP="00A44468">
      <w:pPr>
        <w:spacing w:line="360" w:lineRule="auto"/>
        <w:rPr>
          <w:rFonts w:eastAsiaTheme="majorEastAsia"/>
        </w:rPr>
      </w:pPr>
      <w:r w:rsidRPr="00215D40">
        <w:rPr>
          <w:rFonts w:eastAsiaTheme="majorEastAsia"/>
          <w:b/>
        </w:rPr>
        <w:t>(A)</w:t>
      </w:r>
      <w:r>
        <w:rPr>
          <w:rFonts w:eastAsiaTheme="majorEastAsia"/>
        </w:rPr>
        <w:t>:</w:t>
      </w:r>
      <w:r w:rsidRPr="008E120C">
        <w:rPr>
          <w:rFonts w:eastAsiaTheme="majorEastAsia"/>
        </w:rPr>
        <w:t xml:space="preserve"> Histological analysis of iNCMSC-TEC transplanted knee at 2 month. HE staining and immunostaining (hVimentin and Ki-67) were performed with serial sections.</w:t>
      </w:r>
    </w:p>
    <w:p w:rsidR="00A44468" w:rsidRPr="008E120C" w:rsidRDefault="00A44468" w:rsidP="00A44468">
      <w:pPr>
        <w:spacing w:line="360" w:lineRule="auto"/>
        <w:rPr>
          <w:rFonts w:eastAsiaTheme="majorEastAsia"/>
        </w:rPr>
      </w:pPr>
      <w:r w:rsidRPr="00215D40">
        <w:rPr>
          <w:rFonts w:eastAsiaTheme="majorEastAsia"/>
          <w:b/>
        </w:rPr>
        <w:t>(B)</w:t>
      </w:r>
      <w:r>
        <w:rPr>
          <w:rFonts w:eastAsiaTheme="majorEastAsia"/>
        </w:rPr>
        <w:t>:</w:t>
      </w:r>
      <w:r w:rsidRPr="008E120C">
        <w:rPr>
          <w:rFonts w:eastAsiaTheme="majorEastAsia"/>
        </w:rPr>
        <w:t xml:space="preserve"> EB-outgrowth cells derived from 253G1-iPSCs were transplanted into osteochondral defect of nude rat. HE staining and Ki-67 immunostaining at 1 month specimen.</w:t>
      </w:r>
    </w:p>
    <w:p w:rsidR="00A44468" w:rsidRDefault="00A44468" w:rsidP="00A44468">
      <w:pPr>
        <w:spacing w:line="360" w:lineRule="auto"/>
        <w:rPr>
          <w:rFonts w:eastAsiaTheme="majorEastAsia"/>
        </w:rPr>
      </w:pPr>
      <w:r w:rsidRPr="008E120C">
        <w:rPr>
          <w:rFonts w:eastAsiaTheme="majorEastAsia"/>
        </w:rPr>
        <w:t>Scale bars = 500 μm (upper panels) and 100 μm (lower panels).</w:t>
      </w:r>
    </w:p>
    <w:p w:rsidR="00A44468" w:rsidRDefault="00A44468" w:rsidP="00A44468">
      <w:pPr>
        <w:spacing w:line="360" w:lineRule="auto"/>
        <w:rPr>
          <w:rFonts w:eastAsiaTheme="majorEastAsia"/>
        </w:rPr>
      </w:pPr>
      <w:r w:rsidRPr="00215D40">
        <w:rPr>
          <w:rFonts w:eastAsiaTheme="majorEastAsia"/>
        </w:rPr>
        <w:t>Abbreviation: iNCMSCs, induced neural crest derived mesenchymal stem cells;</w:t>
      </w:r>
      <w:r>
        <w:rPr>
          <w:rFonts w:eastAsiaTheme="majorEastAsia"/>
        </w:rPr>
        <w:t xml:space="preserve"> EB, embryoid body; HE, hematoxylin and eosin.</w:t>
      </w:r>
    </w:p>
    <w:p w:rsidR="00215D40" w:rsidRDefault="00215D40">
      <w:pPr>
        <w:rPr>
          <w:rFonts w:eastAsiaTheme="majorEastAsia"/>
        </w:rPr>
      </w:pPr>
    </w:p>
    <w:p w:rsidR="00A041B9" w:rsidRDefault="00A041B9">
      <w:pPr>
        <w:rPr>
          <w:rFonts w:eastAsiaTheme="majorEastAsia"/>
        </w:rPr>
      </w:pPr>
      <w:r>
        <w:rPr>
          <w:rFonts w:eastAsiaTheme="majorEastAsia"/>
        </w:rPr>
        <w:br w:type="page"/>
      </w:r>
    </w:p>
    <w:p w:rsidR="00A041B9" w:rsidRPr="00A041B9" w:rsidRDefault="00A041B9" w:rsidP="00A041B9">
      <w:pPr>
        <w:spacing w:line="480" w:lineRule="auto"/>
      </w:pPr>
      <w:r w:rsidRPr="00A041B9">
        <w:lastRenderedPageBreak/>
        <w:t>Fig.1S</w:t>
      </w:r>
    </w:p>
    <w:p w:rsidR="00A041B9" w:rsidRPr="00A041B9" w:rsidRDefault="0092629F" w:rsidP="00A041B9">
      <w:pPr>
        <w:spacing w:line="480" w:lineRule="auto"/>
      </w:pPr>
      <w:r w:rsidRPr="0092629F">
        <w:rPr>
          <w:noProof/>
        </w:rPr>
        <w:drawing>
          <wp:inline distT="0" distB="0" distL="0" distR="0">
            <wp:extent cx="4102100" cy="4591050"/>
            <wp:effectExtent l="0" t="0" r="0" b="0"/>
            <wp:docPr id="1" name="図 1" descr="C:\Users\ryota chijimatsu\Documents\生命機能研究科\器官制御外科学\研究\TEC\iPS-NCC\論文-Stem cells international\Figures\Fig.S1 600dp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yota chijimatsu\Documents\生命機能研究科\器官制御外科学\研究\TEC\iPS-NCC\論文-Stem cells international\Figures\Fig.S1 600dpi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1B9" w:rsidRPr="00A041B9" w:rsidRDefault="00A041B9" w:rsidP="00A041B9">
      <w:pPr>
        <w:spacing w:line="480" w:lineRule="auto"/>
      </w:pPr>
      <w:r w:rsidRPr="00A041B9">
        <w:br w:type="page"/>
      </w:r>
    </w:p>
    <w:p w:rsidR="00A041B9" w:rsidRPr="00A041B9" w:rsidRDefault="00A041B9" w:rsidP="00A041B9">
      <w:pPr>
        <w:spacing w:line="480" w:lineRule="auto"/>
      </w:pPr>
      <w:r w:rsidRPr="00A041B9">
        <w:rPr>
          <w:rFonts w:hint="eastAsia"/>
        </w:rPr>
        <w:lastRenderedPageBreak/>
        <w:t>Fig.S2</w:t>
      </w:r>
    </w:p>
    <w:p w:rsidR="00A041B9" w:rsidRPr="00A041B9" w:rsidRDefault="00A25C52" w:rsidP="00A041B9">
      <w:pPr>
        <w:spacing w:line="480" w:lineRule="auto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3.25pt;height:408.75pt">
            <v:imagedata r:id="rId9" o:title="Fig"/>
          </v:shape>
        </w:pict>
      </w:r>
    </w:p>
    <w:p w:rsidR="00A041B9" w:rsidRPr="00A041B9" w:rsidRDefault="00A041B9" w:rsidP="00A041B9">
      <w:pPr>
        <w:spacing w:line="480" w:lineRule="auto"/>
      </w:pPr>
      <w:r w:rsidRPr="00A041B9">
        <w:br w:type="page"/>
      </w:r>
    </w:p>
    <w:p w:rsidR="00A041B9" w:rsidRPr="00A041B9" w:rsidRDefault="00A041B9" w:rsidP="00A041B9">
      <w:pPr>
        <w:spacing w:line="480" w:lineRule="auto"/>
      </w:pPr>
      <w:r w:rsidRPr="00A041B9">
        <w:rPr>
          <w:rFonts w:hint="eastAsia"/>
        </w:rPr>
        <w:lastRenderedPageBreak/>
        <w:t>Fig.S3</w:t>
      </w:r>
    </w:p>
    <w:p w:rsidR="00A041B9" w:rsidRPr="00A041B9" w:rsidRDefault="00A25C52" w:rsidP="00A041B9">
      <w:pPr>
        <w:spacing w:line="480" w:lineRule="auto"/>
      </w:pPr>
      <w:r>
        <w:rPr>
          <w:noProof/>
        </w:rPr>
        <w:pict>
          <v:shape id="_x0000_i1026" type="#_x0000_t75" style="width:420.75pt;height:200.25pt">
            <v:imagedata r:id="rId10" o:title="Fig"/>
          </v:shape>
        </w:pict>
      </w:r>
    </w:p>
    <w:p w:rsidR="00A041B9" w:rsidRPr="00A041B9" w:rsidRDefault="00A041B9" w:rsidP="00A041B9">
      <w:pPr>
        <w:spacing w:line="480" w:lineRule="auto"/>
      </w:pPr>
    </w:p>
    <w:p w:rsidR="00A041B9" w:rsidRPr="00A041B9" w:rsidRDefault="00A041B9" w:rsidP="00A041B9">
      <w:pPr>
        <w:spacing w:line="480" w:lineRule="auto"/>
      </w:pPr>
      <w:r w:rsidRPr="00A041B9">
        <w:br w:type="page"/>
      </w:r>
    </w:p>
    <w:p w:rsidR="00A041B9" w:rsidRPr="00A041B9" w:rsidRDefault="00A041B9" w:rsidP="00A041B9">
      <w:pPr>
        <w:spacing w:line="480" w:lineRule="auto"/>
      </w:pPr>
      <w:r w:rsidRPr="00A041B9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-242809</wp:posOffset>
            </wp:positionH>
            <wp:positionV relativeFrom="paragraph">
              <wp:posOffset>576424</wp:posOffset>
            </wp:positionV>
            <wp:extent cx="5990817" cy="4376439"/>
            <wp:effectExtent l="0" t="0" r="0" b="5080"/>
            <wp:wrapTopAndBottom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817" cy="437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041B9">
        <w:rPr>
          <w:rFonts w:hint="eastAsia"/>
        </w:rPr>
        <w:t>Fig.S4</w:t>
      </w:r>
    </w:p>
    <w:p w:rsidR="00A041B9" w:rsidRPr="00A041B9" w:rsidRDefault="00A041B9" w:rsidP="00A041B9">
      <w:pPr>
        <w:spacing w:line="480" w:lineRule="auto"/>
      </w:pPr>
    </w:p>
    <w:p w:rsidR="00A041B9" w:rsidRPr="00A041B9" w:rsidRDefault="00A041B9" w:rsidP="00A041B9">
      <w:pPr>
        <w:spacing w:line="480" w:lineRule="auto"/>
      </w:pPr>
    </w:p>
    <w:p w:rsidR="00A041B9" w:rsidRPr="00A041B9" w:rsidRDefault="00A041B9" w:rsidP="00A041B9">
      <w:pPr>
        <w:spacing w:line="480" w:lineRule="auto"/>
      </w:pPr>
      <w:r w:rsidRPr="00A041B9">
        <w:br w:type="page"/>
      </w:r>
    </w:p>
    <w:p w:rsidR="00A041B9" w:rsidRPr="00A041B9" w:rsidRDefault="00A041B9" w:rsidP="00A041B9">
      <w:pPr>
        <w:spacing w:line="480" w:lineRule="auto"/>
      </w:pPr>
      <w:r w:rsidRPr="00A041B9">
        <w:rPr>
          <w:rFonts w:hint="eastAsia"/>
        </w:rPr>
        <w:lastRenderedPageBreak/>
        <w:t>Fig.S5</w:t>
      </w:r>
    </w:p>
    <w:p w:rsidR="00A041B9" w:rsidRPr="00A041B9" w:rsidRDefault="00A041B9" w:rsidP="00A041B9">
      <w:pPr>
        <w:spacing w:line="480" w:lineRule="auto"/>
      </w:pPr>
      <w:r w:rsidRPr="00A041B9">
        <w:rPr>
          <w:noProof/>
        </w:rPr>
        <w:drawing>
          <wp:inline distT="0" distB="0" distL="0" distR="0" wp14:anchorId="350E7BBD" wp14:editId="07ADBF1B">
            <wp:extent cx="6124077" cy="2163950"/>
            <wp:effectExtent l="0" t="0" r="0" b="825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706" cy="2170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1B9" w:rsidRPr="00A041B9" w:rsidRDefault="00A041B9" w:rsidP="00A041B9">
      <w:pPr>
        <w:spacing w:line="480" w:lineRule="auto"/>
      </w:pPr>
    </w:p>
    <w:p w:rsidR="00A041B9" w:rsidRPr="00A041B9" w:rsidRDefault="00A041B9" w:rsidP="00A041B9">
      <w:pPr>
        <w:spacing w:line="480" w:lineRule="auto"/>
      </w:pPr>
      <w:r w:rsidRPr="00A041B9">
        <w:fldChar w:fldCharType="begin"/>
      </w:r>
      <w:r w:rsidRPr="00A041B9">
        <w:instrText xml:space="preserve"> ADDIN </w:instrText>
      </w:r>
      <w:r w:rsidRPr="00A041B9">
        <w:fldChar w:fldCharType="end"/>
      </w:r>
    </w:p>
    <w:p w:rsidR="00A041B9" w:rsidRPr="00A44468" w:rsidRDefault="00A041B9">
      <w:pPr>
        <w:rPr>
          <w:rFonts w:eastAsiaTheme="majorEastAsia"/>
        </w:rPr>
      </w:pPr>
      <w:bookmarkStart w:id="0" w:name="_GoBack"/>
      <w:bookmarkEnd w:id="0"/>
    </w:p>
    <w:sectPr w:rsidR="00A041B9" w:rsidRPr="00A4446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0EB" w:rsidRDefault="00B260EB" w:rsidP="00A431A3">
      <w:r>
        <w:separator/>
      </w:r>
    </w:p>
  </w:endnote>
  <w:endnote w:type="continuationSeparator" w:id="0">
    <w:p w:rsidR="00B260EB" w:rsidRDefault="00B260EB" w:rsidP="00A43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0EB" w:rsidRDefault="00B260EB" w:rsidP="00A431A3">
      <w:r>
        <w:separator/>
      </w:r>
    </w:p>
  </w:footnote>
  <w:footnote w:type="continuationSeparator" w:id="0">
    <w:p w:rsidR="00B260EB" w:rsidRDefault="00B260EB" w:rsidP="00A431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08B"/>
    <w:rsid w:val="00016805"/>
    <w:rsid w:val="00032CFE"/>
    <w:rsid w:val="0003460D"/>
    <w:rsid w:val="00082860"/>
    <w:rsid w:val="000A48C3"/>
    <w:rsid w:val="000A58D7"/>
    <w:rsid w:val="000A5970"/>
    <w:rsid w:val="000E0B52"/>
    <w:rsid w:val="0011515A"/>
    <w:rsid w:val="00122F8D"/>
    <w:rsid w:val="00126257"/>
    <w:rsid w:val="0013584E"/>
    <w:rsid w:val="00157862"/>
    <w:rsid w:val="001614E3"/>
    <w:rsid w:val="00161719"/>
    <w:rsid w:val="00173E23"/>
    <w:rsid w:val="001771F9"/>
    <w:rsid w:val="00197EE9"/>
    <w:rsid w:val="001A2834"/>
    <w:rsid w:val="001E6094"/>
    <w:rsid w:val="002009C1"/>
    <w:rsid w:val="00204C50"/>
    <w:rsid w:val="00212E69"/>
    <w:rsid w:val="00215D40"/>
    <w:rsid w:val="002246B1"/>
    <w:rsid w:val="002262F5"/>
    <w:rsid w:val="0029731E"/>
    <w:rsid w:val="002D4174"/>
    <w:rsid w:val="00350434"/>
    <w:rsid w:val="00353A6D"/>
    <w:rsid w:val="003868CE"/>
    <w:rsid w:val="003A7850"/>
    <w:rsid w:val="003B5F50"/>
    <w:rsid w:val="00442998"/>
    <w:rsid w:val="004601DA"/>
    <w:rsid w:val="004B0847"/>
    <w:rsid w:val="004C2569"/>
    <w:rsid w:val="004C5E02"/>
    <w:rsid w:val="004F21C6"/>
    <w:rsid w:val="004F24E2"/>
    <w:rsid w:val="004F4853"/>
    <w:rsid w:val="00526947"/>
    <w:rsid w:val="00551761"/>
    <w:rsid w:val="0055738E"/>
    <w:rsid w:val="00596582"/>
    <w:rsid w:val="005A7EB4"/>
    <w:rsid w:val="005C166D"/>
    <w:rsid w:val="005C40D9"/>
    <w:rsid w:val="005D26C7"/>
    <w:rsid w:val="00605B4F"/>
    <w:rsid w:val="00647879"/>
    <w:rsid w:val="006755BA"/>
    <w:rsid w:val="00685713"/>
    <w:rsid w:val="00685E7A"/>
    <w:rsid w:val="006A0FB5"/>
    <w:rsid w:val="006B1DD4"/>
    <w:rsid w:val="006C3E55"/>
    <w:rsid w:val="006F0C0E"/>
    <w:rsid w:val="006F629F"/>
    <w:rsid w:val="0073276F"/>
    <w:rsid w:val="00744474"/>
    <w:rsid w:val="007D4249"/>
    <w:rsid w:val="007E2C91"/>
    <w:rsid w:val="00814FEF"/>
    <w:rsid w:val="008512CD"/>
    <w:rsid w:val="00853679"/>
    <w:rsid w:val="00870B9F"/>
    <w:rsid w:val="008869EF"/>
    <w:rsid w:val="008B79E2"/>
    <w:rsid w:val="008C4ACD"/>
    <w:rsid w:val="008D260D"/>
    <w:rsid w:val="008E120C"/>
    <w:rsid w:val="0092629F"/>
    <w:rsid w:val="00943A96"/>
    <w:rsid w:val="00961332"/>
    <w:rsid w:val="00A041B9"/>
    <w:rsid w:val="00A12B27"/>
    <w:rsid w:val="00A25C52"/>
    <w:rsid w:val="00A26E25"/>
    <w:rsid w:val="00A35938"/>
    <w:rsid w:val="00A431A3"/>
    <w:rsid w:val="00A44468"/>
    <w:rsid w:val="00A75C55"/>
    <w:rsid w:val="00AC5DEA"/>
    <w:rsid w:val="00AE1F2C"/>
    <w:rsid w:val="00AF1AEA"/>
    <w:rsid w:val="00B03368"/>
    <w:rsid w:val="00B260EB"/>
    <w:rsid w:val="00B62C6D"/>
    <w:rsid w:val="00B77523"/>
    <w:rsid w:val="00BC7F58"/>
    <w:rsid w:val="00BD7E5F"/>
    <w:rsid w:val="00C718E8"/>
    <w:rsid w:val="00CD3E62"/>
    <w:rsid w:val="00D32495"/>
    <w:rsid w:val="00D80BF1"/>
    <w:rsid w:val="00D86660"/>
    <w:rsid w:val="00DB015C"/>
    <w:rsid w:val="00DB1CB7"/>
    <w:rsid w:val="00DE0D60"/>
    <w:rsid w:val="00E27BFB"/>
    <w:rsid w:val="00E50C0E"/>
    <w:rsid w:val="00E52D5C"/>
    <w:rsid w:val="00E60A94"/>
    <w:rsid w:val="00E81DDE"/>
    <w:rsid w:val="00EF608B"/>
    <w:rsid w:val="00F2540E"/>
    <w:rsid w:val="00F44F50"/>
    <w:rsid w:val="00F5387F"/>
    <w:rsid w:val="00F800F5"/>
    <w:rsid w:val="00FA5B96"/>
    <w:rsid w:val="00FC5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6E4BFD48-9D7B-4D61-9E91-CAB0D9115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31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431A3"/>
  </w:style>
  <w:style w:type="paragraph" w:styleId="a5">
    <w:name w:val="footer"/>
    <w:basedOn w:val="a"/>
    <w:link w:val="a6"/>
    <w:uiPriority w:val="99"/>
    <w:unhideWhenUsed/>
    <w:rsid w:val="00A431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431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352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千々松良太</dc:creator>
  <cp:keywords/>
  <dc:description/>
  <cp:lastModifiedBy>千々松良太</cp:lastModifiedBy>
  <cp:revision>2</cp:revision>
  <dcterms:created xsi:type="dcterms:W3CDTF">2017-04-03T03:16:00Z</dcterms:created>
  <dcterms:modified xsi:type="dcterms:W3CDTF">2017-04-03T03:16:00Z</dcterms:modified>
</cp:coreProperties>
</file>