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DBF" w:rsidRDefault="007443D3" w:rsidP="007F141C">
      <w:pPr>
        <w:jc w:val="both"/>
        <w:rPr>
          <w:b/>
          <w:szCs w:val="24"/>
        </w:rPr>
      </w:pPr>
      <w:r w:rsidRPr="007443D3">
        <w:rPr>
          <w:b/>
          <w:szCs w:val="24"/>
        </w:rPr>
        <w:t>Appendix 2</w:t>
      </w:r>
      <w:r w:rsidR="001944F8">
        <w:rPr>
          <w:b/>
          <w:szCs w:val="24"/>
        </w:rPr>
        <w:t xml:space="preserve"> Supplementary Information</w:t>
      </w:r>
    </w:p>
    <w:p w:rsidR="0015366C" w:rsidRDefault="00640DBF" w:rsidP="007F141C">
      <w:pPr>
        <w:jc w:val="both"/>
        <w:rPr>
          <w:b/>
          <w:szCs w:val="24"/>
        </w:rPr>
      </w:pPr>
      <w:r>
        <w:rPr>
          <w:b/>
          <w:szCs w:val="24"/>
        </w:rPr>
        <w:t>1.</w:t>
      </w:r>
      <w:r w:rsidR="00A05CEE">
        <w:rPr>
          <w:b/>
          <w:szCs w:val="24"/>
        </w:rPr>
        <w:t xml:space="preserve"> Additional </w:t>
      </w:r>
      <w:r>
        <w:rPr>
          <w:b/>
          <w:szCs w:val="24"/>
        </w:rPr>
        <w:t xml:space="preserve">Global GMT </w:t>
      </w:r>
      <w:r w:rsidR="00A05CEE">
        <w:rPr>
          <w:b/>
          <w:szCs w:val="24"/>
        </w:rPr>
        <w:t>Results</w:t>
      </w:r>
    </w:p>
    <w:p w:rsidR="00A05CEE" w:rsidRPr="00A05CEE" w:rsidRDefault="00A05CEE" w:rsidP="007F141C">
      <w:pPr>
        <w:jc w:val="both"/>
        <w:rPr>
          <w:szCs w:val="24"/>
        </w:rPr>
      </w:pPr>
      <w:r w:rsidRPr="00A05CEE">
        <w:rPr>
          <w:szCs w:val="24"/>
        </w:rPr>
        <w:t xml:space="preserve">One obvious explanation for the poor least squares regression results </w:t>
      </w:r>
      <w:r>
        <w:rPr>
          <w:szCs w:val="24"/>
        </w:rPr>
        <w:t xml:space="preserve">(Table A2.1) </w:t>
      </w:r>
      <w:r w:rsidRPr="00A05CEE">
        <w:rPr>
          <w:szCs w:val="24"/>
        </w:rPr>
        <w:t>when Temperature anomalies are regressed against the expression for the radiative forcing from rising atmospheric CO</w:t>
      </w:r>
      <w:r w:rsidRPr="00A05CEE">
        <w:rPr>
          <w:szCs w:val="24"/>
          <w:vertAlign w:val="subscript"/>
        </w:rPr>
        <w:t>2</w:t>
      </w:r>
      <w:r w:rsidRPr="00A05CEE">
        <w:rPr>
          <w:szCs w:val="24"/>
        </w:rPr>
        <w:t>, i.e. [CO</w:t>
      </w:r>
      <w:r w:rsidRPr="00A05CEE">
        <w:rPr>
          <w:szCs w:val="24"/>
          <w:vertAlign w:val="subscript"/>
        </w:rPr>
        <w:t>2</w:t>
      </w:r>
      <w:r w:rsidRPr="00A05CEE">
        <w:rPr>
          <w:szCs w:val="24"/>
        </w:rPr>
        <w:t>], is the basically linear rise in the latter relative to the highly annual variations changes in the former</w:t>
      </w:r>
      <w:r>
        <w:rPr>
          <w:szCs w:val="24"/>
        </w:rPr>
        <w:t>, which are often best fit with quadratic or higher level polynomials (Fig.A2.1).</w:t>
      </w:r>
    </w:p>
    <w:p w:rsidR="00A05CEE" w:rsidRDefault="00A73797" w:rsidP="007F141C">
      <w:pPr>
        <w:jc w:val="both"/>
        <w:rPr>
          <w:b/>
          <w:szCs w:val="24"/>
        </w:rPr>
      </w:pPr>
      <w:r>
        <w:rPr>
          <w:b/>
          <w:szCs w:val="24"/>
        </w:rPr>
        <w:t>Fig.A2.1 Trends in temperature and atmospheric CO</w:t>
      </w:r>
      <w:r w:rsidRPr="00A73797">
        <w:rPr>
          <w:b/>
          <w:szCs w:val="24"/>
          <w:vertAlign w:val="subscript"/>
        </w:rPr>
        <w:t>2</w:t>
      </w:r>
      <w:r>
        <w:rPr>
          <w:b/>
          <w:szCs w:val="24"/>
        </w:rPr>
        <w:t>, Mauna Loa</w:t>
      </w:r>
    </w:p>
    <w:p w:rsidR="0067141D" w:rsidRDefault="00A73797" w:rsidP="007F141C">
      <w:pPr>
        <w:jc w:val="both"/>
        <w:rPr>
          <w:b/>
          <w:szCs w:val="24"/>
        </w:rPr>
      </w:pPr>
      <w:r w:rsidRPr="00A73797">
        <w:rPr>
          <w:noProof/>
          <w:szCs w:val="24"/>
          <w:lang w:val="en-US"/>
        </w:rPr>
        <w:drawing>
          <wp:inline distT="0" distB="0" distL="0" distR="0">
            <wp:extent cx="5731510" cy="3751188"/>
            <wp:effectExtent l="19050" t="0" r="254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731510" cy="3751188"/>
                    </a:xfrm>
                    <a:prstGeom prst="rect">
                      <a:avLst/>
                    </a:prstGeom>
                    <a:noFill/>
                    <a:ln w="9525">
                      <a:noFill/>
                      <a:miter lim="800000"/>
                      <a:headEnd/>
                      <a:tailEnd/>
                    </a:ln>
                  </pic:spPr>
                </pic:pic>
              </a:graphicData>
            </a:graphic>
          </wp:inline>
        </w:drawing>
      </w:r>
    </w:p>
    <w:p w:rsidR="00B10620" w:rsidRPr="00B10620" w:rsidRDefault="00B10620" w:rsidP="00B10620">
      <w:pPr>
        <w:spacing w:line="240" w:lineRule="auto"/>
        <w:jc w:val="both"/>
        <w:rPr>
          <w:sz w:val="22"/>
        </w:rPr>
      </w:pPr>
      <w:r w:rsidRPr="00B10620">
        <w:rPr>
          <w:sz w:val="22"/>
        </w:rPr>
        <w:t>Note: The [CO</w:t>
      </w:r>
      <w:r w:rsidRPr="00B10620">
        <w:rPr>
          <w:sz w:val="22"/>
          <w:vertAlign w:val="subscript"/>
        </w:rPr>
        <w:t>2</w:t>
      </w:r>
      <w:r w:rsidRPr="00B10620">
        <w:rPr>
          <w:sz w:val="22"/>
        </w:rPr>
        <w:t>] trend line (R</w:t>
      </w:r>
      <w:r w:rsidRPr="00B10620">
        <w:rPr>
          <w:sz w:val="22"/>
          <w:vertAlign w:val="superscript"/>
        </w:rPr>
        <w:t>2</w:t>
      </w:r>
      <w:r w:rsidRPr="00B10620">
        <w:rPr>
          <w:sz w:val="22"/>
        </w:rPr>
        <w:t>=0.9948) and the annual increments of 1.66 ppm contrast with the Annual Mean Temperature trend line (R</w:t>
      </w:r>
      <w:r w:rsidRPr="00B10620">
        <w:rPr>
          <w:sz w:val="22"/>
          <w:vertAlign w:val="superscript"/>
        </w:rPr>
        <w:t>2</w:t>
      </w:r>
      <w:r w:rsidRPr="00B10620">
        <w:rPr>
          <w:sz w:val="22"/>
        </w:rPr>
        <w:t xml:space="preserve">=0.0883) and annual increments of 0.0157 </w:t>
      </w:r>
      <w:r w:rsidRPr="00B10620">
        <w:rPr>
          <w:sz w:val="22"/>
          <w:vertAlign w:val="superscript"/>
        </w:rPr>
        <w:t>o</w:t>
      </w:r>
      <w:r w:rsidRPr="00B10620">
        <w:rPr>
          <w:sz w:val="22"/>
        </w:rPr>
        <w:t xml:space="preserve">C (0.157 per decade, and 1.57 </w:t>
      </w:r>
      <w:r w:rsidRPr="00B10620">
        <w:rPr>
          <w:sz w:val="22"/>
          <w:vertAlign w:val="superscript"/>
        </w:rPr>
        <w:t>o</w:t>
      </w:r>
      <w:r w:rsidRPr="00B10620">
        <w:rPr>
          <w:sz w:val="22"/>
        </w:rPr>
        <w:t xml:space="preserve">C per century). </w:t>
      </w:r>
    </w:p>
    <w:p w:rsidR="0067141D" w:rsidRDefault="0067141D" w:rsidP="007F141C">
      <w:pPr>
        <w:jc w:val="both"/>
        <w:rPr>
          <w:b/>
          <w:szCs w:val="24"/>
        </w:rPr>
      </w:pPr>
    </w:p>
    <w:p w:rsidR="00B10620" w:rsidRDefault="00B10620">
      <w:pPr>
        <w:rPr>
          <w:b/>
          <w:szCs w:val="24"/>
        </w:rPr>
      </w:pPr>
      <w:r>
        <w:rPr>
          <w:b/>
          <w:szCs w:val="24"/>
        </w:rPr>
        <w:br w:type="page"/>
      </w:r>
    </w:p>
    <w:p w:rsidR="007443D3" w:rsidRPr="00B14B32" w:rsidRDefault="007443D3" w:rsidP="007443D3">
      <w:pPr>
        <w:spacing w:line="240" w:lineRule="auto"/>
        <w:jc w:val="center"/>
        <w:rPr>
          <w:b/>
          <w:szCs w:val="24"/>
        </w:rPr>
      </w:pPr>
      <w:r w:rsidRPr="00B14B32">
        <w:rPr>
          <w:b/>
          <w:szCs w:val="24"/>
        </w:rPr>
        <w:lastRenderedPageBreak/>
        <w:t xml:space="preserve">Table </w:t>
      </w:r>
      <w:r>
        <w:rPr>
          <w:b/>
          <w:szCs w:val="24"/>
        </w:rPr>
        <w:t>A</w:t>
      </w:r>
      <w:r w:rsidRPr="00B14B32">
        <w:rPr>
          <w:b/>
          <w:szCs w:val="24"/>
        </w:rPr>
        <w:t>2</w:t>
      </w:r>
      <w:r>
        <w:rPr>
          <w:b/>
          <w:szCs w:val="24"/>
        </w:rPr>
        <w:t>.1</w:t>
      </w:r>
    </w:p>
    <w:p w:rsidR="007443D3" w:rsidRPr="00B14B32" w:rsidRDefault="007443D3" w:rsidP="007443D3">
      <w:pPr>
        <w:spacing w:line="240" w:lineRule="auto"/>
        <w:jc w:val="center"/>
        <w:rPr>
          <w:b/>
          <w:szCs w:val="24"/>
        </w:rPr>
      </w:pPr>
      <w:proofErr w:type="gramStart"/>
      <w:r>
        <w:rPr>
          <w:b/>
          <w:szCs w:val="24"/>
        </w:rPr>
        <w:t>R</w:t>
      </w:r>
      <w:r w:rsidRPr="00B14B32">
        <w:rPr>
          <w:b/>
          <w:szCs w:val="24"/>
        </w:rPr>
        <w:t xml:space="preserve">egression of </w:t>
      </w:r>
      <w:r>
        <w:rPr>
          <w:b/>
          <w:szCs w:val="24"/>
        </w:rPr>
        <w:t xml:space="preserve">Absolute Values of </w:t>
      </w:r>
      <w:r w:rsidRPr="00B14B32">
        <w:rPr>
          <w:b/>
          <w:szCs w:val="24"/>
        </w:rPr>
        <w:t xml:space="preserve">GMT </w:t>
      </w:r>
      <w:r>
        <w:rPr>
          <w:b/>
          <w:szCs w:val="24"/>
        </w:rPr>
        <w:t xml:space="preserve">anomalies </w:t>
      </w:r>
      <w:r w:rsidRPr="00B14B32">
        <w:rPr>
          <w:b/>
          <w:szCs w:val="24"/>
        </w:rPr>
        <w:t xml:space="preserve">(as reported by </w:t>
      </w:r>
      <w:proofErr w:type="spellStart"/>
      <w:r w:rsidRPr="00B14B32">
        <w:rPr>
          <w:b/>
          <w:szCs w:val="24"/>
        </w:rPr>
        <w:t>Gistemp</w:t>
      </w:r>
      <w:proofErr w:type="spellEnd"/>
      <w:r>
        <w:rPr>
          <w:b/>
          <w:szCs w:val="24"/>
        </w:rPr>
        <w:t xml:space="preserve">) </w:t>
      </w:r>
      <w:r w:rsidRPr="00B14B32">
        <w:rPr>
          <w:b/>
          <w:szCs w:val="24"/>
        </w:rPr>
        <w:t>against CDIAC’s [CO</w:t>
      </w:r>
      <w:r w:rsidRPr="008B3BC7">
        <w:rPr>
          <w:b/>
          <w:szCs w:val="24"/>
          <w:vertAlign w:val="subscript"/>
        </w:rPr>
        <w:t>2</w:t>
      </w:r>
      <w:r w:rsidRPr="00B14B32">
        <w:rPr>
          <w:b/>
          <w:szCs w:val="24"/>
        </w:rPr>
        <w:t>] data</w:t>
      </w:r>
      <w:r>
        <w:rPr>
          <w:b/>
          <w:szCs w:val="24"/>
        </w:rPr>
        <w:t xml:space="preserve"> (absolute ppm), 1959-2009</w:t>
      </w:r>
      <w:r w:rsidRPr="00B14B32">
        <w:rPr>
          <w:b/>
          <w:szCs w:val="24"/>
        </w:rPr>
        <w:t>.</w:t>
      </w:r>
      <w:proofErr w:type="gramEnd"/>
    </w:p>
    <w:p w:rsidR="007443D3" w:rsidRDefault="007443D3" w:rsidP="007443D3">
      <w:pPr>
        <w:spacing w:line="240" w:lineRule="auto"/>
        <w:jc w:val="both"/>
        <w:rPr>
          <w:szCs w:val="24"/>
        </w:rPr>
      </w:pPr>
      <w:r>
        <w:rPr>
          <w:noProof/>
          <w:szCs w:val="24"/>
          <w:lang w:val="en-US"/>
        </w:rPr>
        <w:drawing>
          <wp:inline distT="0" distB="0" distL="0" distR="0">
            <wp:extent cx="5734050" cy="914400"/>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34050" cy="914400"/>
                    </a:xfrm>
                    <a:prstGeom prst="rect">
                      <a:avLst/>
                    </a:prstGeom>
                    <a:noFill/>
                    <a:ln w="9525">
                      <a:noFill/>
                      <a:miter lim="800000"/>
                      <a:headEnd/>
                      <a:tailEnd/>
                    </a:ln>
                  </pic:spPr>
                </pic:pic>
              </a:graphicData>
            </a:graphic>
          </wp:inline>
        </w:drawing>
      </w:r>
    </w:p>
    <w:p w:rsidR="007443D3" w:rsidRDefault="007443D3" w:rsidP="007443D3">
      <w:pPr>
        <w:spacing w:line="240" w:lineRule="auto"/>
        <w:jc w:val="both"/>
        <w:rPr>
          <w:szCs w:val="24"/>
        </w:rPr>
      </w:pPr>
      <w:r>
        <w:rPr>
          <w:noProof/>
          <w:szCs w:val="24"/>
          <w:lang w:val="en-US"/>
        </w:rPr>
        <w:drawing>
          <wp:inline distT="0" distB="0" distL="0" distR="0">
            <wp:extent cx="5724525" cy="923925"/>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24525" cy="923925"/>
                    </a:xfrm>
                    <a:prstGeom prst="rect">
                      <a:avLst/>
                    </a:prstGeom>
                    <a:noFill/>
                    <a:ln w="9525">
                      <a:noFill/>
                      <a:miter lim="800000"/>
                      <a:headEnd/>
                      <a:tailEnd/>
                    </a:ln>
                  </pic:spPr>
                </pic:pic>
              </a:graphicData>
            </a:graphic>
          </wp:inline>
        </w:drawing>
      </w:r>
    </w:p>
    <w:p w:rsidR="007443D3" w:rsidRDefault="007443D3" w:rsidP="007443D3">
      <w:pPr>
        <w:spacing w:line="240" w:lineRule="auto"/>
        <w:jc w:val="both"/>
        <w:rPr>
          <w:szCs w:val="24"/>
        </w:rPr>
      </w:pPr>
    </w:p>
    <w:p w:rsidR="007443D3" w:rsidRDefault="007443D3" w:rsidP="007443D3">
      <w:pPr>
        <w:spacing w:line="240" w:lineRule="auto"/>
        <w:jc w:val="both"/>
        <w:rPr>
          <w:szCs w:val="24"/>
        </w:rPr>
      </w:pPr>
      <w:r>
        <w:rPr>
          <w:noProof/>
          <w:szCs w:val="24"/>
          <w:lang w:val="en-US"/>
        </w:rPr>
        <w:drawing>
          <wp:inline distT="0" distB="0" distL="0" distR="0">
            <wp:extent cx="5724525" cy="1714500"/>
            <wp:effectExtent l="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24525" cy="1714500"/>
                    </a:xfrm>
                    <a:prstGeom prst="rect">
                      <a:avLst/>
                    </a:prstGeom>
                    <a:noFill/>
                    <a:ln w="9525">
                      <a:noFill/>
                      <a:miter lim="800000"/>
                      <a:headEnd/>
                      <a:tailEnd/>
                    </a:ln>
                  </pic:spPr>
                </pic:pic>
              </a:graphicData>
            </a:graphic>
          </wp:inline>
        </w:drawing>
      </w:r>
    </w:p>
    <w:p w:rsidR="007443D3" w:rsidRDefault="007443D3" w:rsidP="007443D3">
      <w:pPr>
        <w:spacing w:line="240" w:lineRule="auto"/>
        <w:jc w:val="both"/>
        <w:rPr>
          <w:szCs w:val="24"/>
        </w:rPr>
      </w:pPr>
      <w:r>
        <w:rPr>
          <w:szCs w:val="24"/>
        </w:rPr>
        <w:t>Notes (Table 2.1): The R</w:t>
      </w:r>
      <w:r w:rsidRPr="00A62FAA">
        <w:rPr>
          <w:szCs w:val="24"/>
          <w:vertAlign w:val="superscript"/>
        </w:rPr>
        <w:t>2</w:t>
      </w:r>
      <w:r>
        <w:rPr>
          <w:szCs w:val="24"/>
        </w:rPr>
        <w:t xml:space="preserve"> is very high at 0.80, and the t-statistic on [CO</w:t>
      </w:r>
      <w:r w:rsidRPr="007B714F">
        <w:rPr>
          <w:szCs w:val="24"/>
          <w:vertAlign w:val="subscript"/>
        </w:rPr>
        <w:t>2</w:t>
      </w:r>
      <w:r>
        <w:rPr>
          <w:szCs w:val="24"/>
        </w:rPr>
        <w:t xml:space="preserve">] looks strong and statistically significant. </w:t>
      </w:r>
      <w:r w:rsidR="00A05CEE">
        <w:rPr>
          <w:szCs w:val="24"/>
        </w:rPr>
        <w:t xml:space="preserve">However </w:t>
      </w:r>
      <w:r>
        <w:rPr>
          <w:szCs w:val="24"/>
        </w:rPr>
        <w:t xml:space="preserve">the Durbin-Watson test statistic (1.67) is </w:t>
      </w:r>
      <w:r w:rsidR="00A05CEE">
        <w:rPr>
          <w:szCs w:val="24"/>
        </w:rPr>
        <w:t xml:space="preserve">below the usual benchmark of 2.0, </w:t>
      </w:r>
      <w:r>
        <w:rPr>
          <w:szCs w:val="24"/>
        </w:rPr>
        <w:t>suggesting serial autocorrelation. In addition, since in this case there is only one independent variable, the Condition Index confirms the strong apparent correlation between the dependent and independent variables indicated by the adjusted R</w:t>
      </w:r>
      <w:r w:rsidRPr="009C096C">
        <w:rPr>
          <w:szCs w:val="24"/>
          <w:vertAlign w:val="superscript"/>
        </w:rPr>
        <w:t>2</w:t>
      </w:r>
      <w:r>
        <w:rPr>
          <w:szCs w:val="24"/>
        </w:rPr>
        <w:t xml:space="preserve"> of 0.804. However a bivariate regression analysis like this does not provide evidence for or against the claim that anthropogenic effects account for “most” of observed warming, since no non-anthropogenic variables are present.</w:t>
      </w:r>
    </w:p>
    <w:p w:rsidR="00A73797" w:rsidRDefault="00A73797">
      <w:pPr>
        <w:rPr>
          <w:b/>
          <w:szCs w:val="24"/>
        </w:rPr>
      </w:pPr>
      <w:r>
        <w:rPr>
          <w:b/>
          <w:szCs w:val="24"/>
        </w:rPr>
        <w:br w:type="page"/>
      </w:r>
    </w:p>
    <w:p w:rsidR="00FE2714" w:rsidRDefault="00FE2714" w:rsidP="00FE2714">
      <w:pPr>
        <w:spacing w:line="240" w:lineRule="auto"/>
        <w:jc w:val="center"/>
        <w:rPr>
          <w:b/>
          <w:szCs w:val="24"/>
        </w:rPr>
      </w:pPr>
      <w:r w:rsidRPr="00DF1899">
        <w:rPr>
          <w:b/>
          <w:szCs w:val="24"/>
        </w:rPr>
        <w:lastRenderedPageBreak/>
        <w:t xml:space="preserve">Table </w:t>
      </w:r>
      <w:r>
        <w:rPr>
          <w:b/>
          <w:szCs w:val="24"/>
        </w:rPr>
        <w:t>A</w:t>
      </w:r>
      <w:r w:rsidRPr="00DF1899">
        <w:rPr>
          <w:b/>
          <w:szCs w:val="24"/>
        </w:rPr>
        <w:t>2.2</w:t>
      </w:r>
    </w:p>
    <w:p w:rsidR="00FE2714" w:rsidRDefault="00FE2714" w:rsidP="00FE2714">
      <w:pPr>
        <w:spacing w:line="240" w:lineRule="auto"/>
        <w:jc w:val="center"/>
        <w:rPr>
          <w:b/>
          <w:szCs w:val="24"/>
        </w:rPr>
      </w:pPr>
      <w:r w:rsidRPr="00DF1899">
        <w:rPr>
          <w:b/>
          <w:szCs w:val="24"/>
        </w:rPr>
        <w:t>Regression of changes in GMT on changes in [CO</w:t>
      </w:r>
      <w:r w:rsidRPr="00DF1899">
        <w:rPr>
          <w:b/>
          <w:szCs w:val="24"/>
          <w:vertAlign w:val="subscript"/>
        </w:rPr>
        <w:t>2</w:t>
      </w:r>
      <w:r w:rsidRPr="00DF1899">
        <w:rPr>
          <w:b/>
          <w:szCs w:val="24"/>
        </w:rPr>
        <w:t>] 1959-2009</w:t>
      </w:r>
      <w:r>
        <w:rPr>
          <w:b/>
          <w:szCs w:val="24"/>
        </w:rPr>
        <w:t xml:space="preserve"> (constant=0)</w:t>
      </w:r>
    </w:p>
    <w:p w:rsidR="00FE2714" w:rsidRDefault="00FE2714" w:rsidP="00FE2714">
      <w:pPr>
        <w:spacing w:line="240" w:lineRule="auto"/>
        <w:jc w:val="both"/>
        <w:rPr>
          <w:szCs w:val="24"/>
        </w:rPr>
      </w:pPr>
      <w:r>
        <w:rPr>
          <w:noProof/>
          <w:szCs w:val="24"/>
          <w:lang w:val="en-US"/>
        </w:rPr>
        <w:drawing>
          <wp:inline distT="0" distB="0" distL="0" distR="0">
            <wp:extent cx="4495800" cy="3257550"/>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495800" cy="3257550"/>
                    </a:xfrm>
                    <a:prstGeom prst="rect">
                      <a:avLst/>
                    </a:prstGeom>
                    <a:noFill/>
                    <a:ln w="9525">
                      <a:noFill/>
                      <a:miter lim="800000"/>
                      <a:headEnd/>
                      <a:tailEnd/>
                    </a:ln>
                  </pic:spPr>
                </pic:pic>
              </a:graphicData>
            </a:graphic>
          </wp:inline>
        </w:drawing>
      </w:r>
    </w:p>
    <w:p w:rsidR="00FE2714" w:rsidRPr="002B068E" w:rsidRDefault="00FE2714" w:rsidP="00FE2714">
      <w:pPr>
        <w:spacing w:line="240" w:lineRule="auto"/>
        <w:jc w:val="both"/>
        <w:rPr>
          <w:szCs w:val="24"/>
        </w:rPr>
      </w:pPr>
      <w:r w:rsidRPr="002B068E">
        <w:rPr>
          <w:szCs w:val="24"/>
        </w:rPr>
        <w:t>The Durbin-Watson at 2.7 (Table 2.2) rules out spurious correlation, but the R</w:t>
      </w:r>
      <w:r w:rsidRPr="002B068E">
        <w:rPr>
          <w:szCs w:val="24"/>
          <w:vertAlign w:val="superscript"/>
        </w:rPr>
        <w:t>2</w:t>
      </w:r>
      <w:r w:rsidRPr="002B068E">
        <w:rPr>
          <w:szCs w:val="24"/>
        </w:rPr>
        <w:t xml:space="preserve"> at 0.066 is derisory, implying that 99 percent of changes in GMT are attributable to other causes than changes in [CO</w:t>
      </w:r>
      <w:r w:rsidRPr="002B068E">
        <w:rPr>
          <w:szCs w:val="24"/>
          <w:vertAlign w:val="subscript"/>
        </w:rPr>
        <w:t>2</w:t>
      </w:r>
      <w:r w:rsidRPr="002B068E">
        <w:rPr>
          <w:szCs w:val="24"/>
        </w:rPr>
        <w:t xml:space="preserve">]. The </w:t>
      </w:r>
      <w:r w:rsidRPr="002B068E">
        <w:rPr>
          <w:i/>
          <w:szCs w:val="24"/>
        </w:rPr>
        <w:t>t</w:t>
      </w:r>
      <w:r w:rsidRPr="002B068E">
        <w:rPr>
          <w:szCs w:val="24"/>
        </w:rPr>
        <w:t xml:space="preserve">-statistic looks promising but the </w:t>
      </w:r>
      <w:r w:rsidRPr="002B068E">
        <w:rPr>
          <w:i/>
          <w:szCs w:val="24"/>
        </w:rPr>
        <w:t>p</w:t>
      </w:r>
      <w:r w:rsidRPr="002B068E">
        <w:rPr>
          <w:szCs w:val="24"/>
        </w:rPr>
        <w:t xml:space="preserve">-value is too high (&gt;0.015). That regression set the constant at zero. Changing this, we have the outcome shown in Table </w:t>
      </w:r>
      <w:r w:rsidR="00A05CEE">
        <w:rPr>
          <w:szCs w:val="24"/>
        </w:rPr>
        <w:t>A</w:t>
      </w:r>
      <w:r w:rsidRPr="002B068E">
        <w:rPr>
          <w:szCs w:val="24"/>
        </w:rPr>
        <w:t>2.3. The adjusted R2 improves to 0.317, but is well short of the 0.5 required by the IPCC’s “most”, as it indicates that nearly 70 percent of observed global warming cannot be explained by changes in [CO</w:t>
      </w:r>
      <w:r w:rsidRPr="002B068E">
        <w:rPr>
          <w:szCs w:val="24"/>
          <w:vertAlign w:val="subscript"/>
        </w:rPr>
        <w:t>2</w:t>
      </w:r>
      <w:r w:rsidRPr="002B068E">
        <w:rPr>
          <w:szCs w:val="24"/>
        </w:rPr>
        <w:t xml:space="preserve">] alone. The regression passes the Durbin-Watson and collinearity </w:t>
      </w:r>
      <w:proofErr w:type="gramStart"/>
      <w:r w:rsidRPr="002B068E">
        <w:rPr>
          <w:szCs w:val="24"/>
        </w:rPr>
        <w:t>tests,</w:t>
      </w:r>
      <w:proofErr w:type="gramEnd"/>
      <w:r w:rsidRPr="002B068E">
        <w:rPr>
          <w:szCs w:val="24"/>
        </w:rPr>
        <w:t xml:space="preserve"> and the coefficient on changes in [CO</w:t>
      </w:r>
      <w:r w:rsidRPr="002B068E">
        <w:rPr>
          <w:szCs w:val="24"/>
          <w:vertAlign w:val="subscript"/>
        </w:rPr>
        <w:t>2</w:t>
      </w:r>
      <w:r w:rsidRPr="002B068E">
        <w:rPr>
          <w:szCs w:val="24"/>
        </w:rPr>
        <w:t>] is statistically significant.</w:t>
      </w:r>
    </w:p>
    <w:p w:rsidR="00FE2714" w:rsidRPr="00D472C1" w:rsidRDefault="00FE2714" w:rsidP="00FE2714">
      <w:pPr>
        <w:spacing w:line="240" w:lineRule="auto"/>
        <w:jc w:val="center"/>
        <w:rPr>
          <w:b/>
          <w:szCs w:val="24"/>
        </w:rPr>
      </w:pPr>
      <w:r w:rsidRPr="00D472C1">
        <w:rPr>
          <w:b/>
          <w:szCs w:val="24"/>
        </w:rPr>
        <w:t xml:space="preserve">Table </w:t>
      </w:r>
      <w:r w:rsidR="00640DBF">
        <w:rPr>
          <w:b/>
          <w:szCs w:val="24"/>
        </w:rPr>
        <w:t>A</w:t>
      </w:r>
      <w:r w:rsidRPr="00D472C1">
        <w:rPr>
          <w:b/>
          <w:szCs w:val="24"/>
        </w:rPr>
        <w:t>2.3 Regression of changes in GMT on changes in [CO</w:t>
      </w:r>
      <w:r w:rsidRPr="00D472C1">
        <w:rPr>
          <w:b/>
          <w:szCs w:val="24"/>
          <w:vertAlign w:val="subscript"/>
        </w:rPr>
        <w:t>2</w:t>
      </w:r>
      <w:r w:rsidRPr="00D472C1">
        <w:rPr>
          <w:b/>
          <w:szCs w:val="24"/>
        </w:rPr>
        <w:t>] (</w:t>
      </w:r>
      <w:proofErr w:type="gramStart"/>
      <w:r w:rsidRPr="00D472C1">
        <w:rPr>
          <w:b/>
          <w:szCs w:val="24"/>
        </w:rPr>
        <w:t xml:space="preserve">constant  </w:t>
      </w:r>
      <w:r>
        <w:rPr>
          <w:b/>
          <w:szCs w:val="24"/>
        </w:rPr>
        <w:t>≠</w:t>
      </w:r>
      <w:proofErr w:type="gramEnd"/>
      <w:r w:rsidRPr="00D472C1">
        <w:rPr>
          <w:b/>
          <w:szCs w:val="24"/>
        </w:rPr>
        <w:t xml:space="preserve"> 0).</w:t>
      </w:r>
    </w:p>
    <w:p w:rsidR="00FE2714" w:rsidRDefault="00FE2714" w:rsidP="00FE2714">
      <w:pPr>
        <w:spacing w:line="240" w:lineRule="auto"/>
        <w:jc w:val="both"/>
        <w:rPr>
          <w:szCs w:val="24"/>
        </w:rPr>
      </w:pPr>
      <w:r>
        <w:rPr>
          <w:noProof/>
          <w:szCs w:val="24"/>
          <w:lang w:val="en-US"/>
        </w:rPr>
        <w:drawing>
          <wp:inline distT="0" distB="0" distL="0" distR="0">
            <wp:extent cx="5734050" cy="914400"/>
            <wp:effectExtent l="1905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34050" cy="914400"/>
                    </a:xfrm>
                    <a:prstGeom prst="rect">
                      <a:avLst/>
                    </a:prstGeom>
                    <a:noFill/>
                    <a:ln w="9525">
                      <a:noFill/>
                      <a:miter lim="800000"/>
                      <a:headEnd/>
                      <a:tailEnd/>
                    </a:ln>
                  </pic:spPr>
                </pic:pic>
              </a:graphicData>
            </a:graphic>
          </wp:inline>
        </w:drawing>
      </w:r>
    </w:p>
    <w:p w:rsidR="00FE2714" w:rsidRDefault="00FE2714" w:rsidP="00FE2714">
      <w:pPr>
        <w:spacing w:line="240" w:lineRule="auto"/>
        <w:jc w:val="both"/>
        <w:rPr>
          <w:szCs w:val="24"/>
        </w:rPr>
      </w:pPr>
      <w:r>
        <w:rPr>
          <w:noProof/>
          <w:szCs w:val="24"/>
          <w:lang w:val="en-US"/>
        </w:rPr>
        <w:drawing>
          <wp:inline distT="0" distB="0" distL="0" distR="0">
            <wp:extent cx="5734050" cy="904875"/>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34050" cy="904875"/>
                    </a:xfrm>
                    <a:prstGeom prst="rect">
                      <a:avLst/>
                    </a:prstGeom>
                    <a:noFill/>
                    <a:ln w="9525">
                      <a:noFill/>
                      <a:miter lim="800000"/>
                      <a:headEnd/>
                      <a:tailEnd/>
                    </a:ln>
                  </pic:spPr>
                </pic:pic>
              </a:graphicData>
            </a:graphic>
          </wp:inline>
        </w:drawing>
      </w:r>
    </w:p>
    <w:p w:rsidR="00FE2714" w:rsidRPr="00560FC4" w:rsidRDefault="00FE2714" w:rsidP="00FE2714">
      <w:pPr>
        <w:spacing w:line="240" w:lineRule="auto"/>
        <w:jc w:val="both"/>
        <w:rPr>
          <w:szCs w:val="24"/>
        </w:rPr>
      </w:pPr>
      <w:r w:rsidRPr="00560FC4">
        <w:rPr>
          <w:szCs w:val="24"/>
        </w:rPr>
        <w:t>The failure of the regressions to account for “most” of global warming should not be surprising in the light of the large disparity in the trends for changes in GMT and [CO</w:t>
      </w:r>
      <w:r w:rsidRPr="00560FC4">
        <w:rPr>
          <w:szCs w:val="24"/>
          <w:vertAlign w:val="subscript"/>
        </w:rPr>
        <w:t>2</w:t>
      </w:r>
      <w:r w:rsidRPr="00560FC4">
        <w:rPr>
          <w:szCs w:val="24"/>
        </w:rPr>
        <w:t>] evident in Fig</w:t>
      </w:r>
      <w:r w:rsidR="00640DBF">
        <w:rPr>
          <w:szCs w:val="24"/>
        </w:rPr>
        <w:t>s</w:t>
      </w:r>
      <w:r w:rsidRPr="00560FC4">
        <w:rPr>
          <w:szCs w:val="24"/>
        </w:rPr>
        <w:t>.</w:t>
      </w:r>
      <w:r w:rsidR="00640DBF">
        <w:rPr>
          <w:szCs w:val="24"/>
        </w:rPr>
        <w:t>A2.1</w:t>
      </w:r>
      <w:r w:rsidRPr="00560FC4">
        <w:rPr>
          <w:szCs w:val="24"/>
        </w:rPr>
        <w:t xml:space="preserve"> </w:t>
      </w:r>
      <w:r w:rsidR="00640DBF">
        <w:rPr>
          <w:szCs w:val="24"/>
        </w:rPr>
        <w:t xml:space="preserve">and A2.2 </w:t>
      </w:r>
      <w:r w:rsidRPr="00560FC4">
        <w:rPr>
          <w:szCs w:val="24"/>
        </w:rPr>
        <w:t xml:space="preserve">where there is a </w:t>
      </w:r>
      <w:r w:rsidR="00640DBF">
        <w:rPr>
          <w:szCs w:val="24"/>
        </w:rPr>
        <w:t>strong linear</w:t>
      </w:r>
      <w:r w:rsidRPr="00560FC4">
        <w:rPr>
          <w:szCs w:val="24"/>
        </w:rPr>
        <w:t xml:space="preserve"> upward trend in the changes in [CO</w:t>
      </w:r>
      <w:r w:rsidRPr="00560FC4">
        <w:rPr>
          <w:szCs w:val="24"/>
          <w:vertAlign w:val="subscript"/>
        </w:rPr>
        <w:t>2</w:t>
      </w:r>
      <w:r w:rsidRPr="00560FC4">
        <w:rPr>
          <w:szCs w:val="24"/>
        </w:rPr>
        <w:t xml:space="preserve">] but not for changes in </w:t>
      </w:r>
      <w:proofErr w:type="spellStart"/>
      <w:r w:rsidRPr="00560FC4">
        <w:rPr>
          <w:szCs w:val="24"/>
        </w:rPr>
        <w:t>Gistemp’s</w:t>
      </w:r>
      <w:proofErr w:type="spellEnd"/>
      <w:r w:rsidRPr="00560FC4">
        <w:rPr>
          <w:szCs w:val="24"/>
        </w:rPr>
        <w:t xml:space="preserve"> GMT</w:t>
      </w:r>
      <w:r w:rsidR="00640DBF">
        <w:rPr>
          <w:szCs w:val="24"/>
        </w:rPr>
        <w:t xml:space="preserve"> anomalies</w:t>
      </w:r>
      <w:r w:rsidRPr="00560FC4">
        <w:rPr>
          <w:szCs w:val="24"/>
        </w:rPr>
        <w:t>.</w:t>
      </w:r>
    </w:p>
    <w:p w:rsidR="004A6ED0" w:rsidRPr="007F141C" w:rsidRDefault="004A6ED0" w:rsidP="008712A9">
      <w:pPr>
        <w:autoSpaceDE w:val="0"/>
        <w:autoSpaceDN w:val="0"/>
        <w:adjustRightInd w:val="0"/>
        <w:spacing w:after="0" w:line="240" w:lineRule="auto"/>
        <w:rPr>
          <w:szCs w:val="24"/>
        </w:rPr>
      </w:pPr>
    </w:p>
    <w:p w:rsidR="00564F12" w:rsidRDefault="00564F12" w:rsidP="00A73797">
      <w:pPr>
        <w:rPr>
          <w:b/>
          <w:szCs w:val="24"/>
        </w:rPr>
      </w:pPr>
      <w:r w:rsidRPr="007217B0">
        <w:rPr>
          <w:b/>
          <w:szCs w:val="24"/>
        </w:rPr>
        <w:t>Fig.</w:t>
      </w:r>
      <w:r w:rsidR="00B72416">
        <w:rPr>
          <w:b/>
          <w:szCs w:val="24"/>
        </w:rPr>
        <w:t>A2.2</w:t>
      </w:r>
    </w:p>
    <w:p w:rsidR="00564F12" w:rsidRDefault="00564F12" w:rsidP="00564F12">
      <w:pPr>
        <w:spacing w:line="240" w:lineRule="auto"/>
        <w:jc w:val="center"/>
        <w:rPr>
          <w:b/>
          <w:szCs w:val="24"/>
        </w:rPr>
      </w:pPr>
      <w:r w:rsidRPr="007217B0">
        <w:rPr>
          <w:b/>
          <w:szCs w:val="24"/>
        </w:rPr>
        <w:t xml:space="preserve">Trends in </w:t>
      </w:r>
      <w:r w:rsidRPr="008258E3">
        <w:rPr>
          <w:b/>
          <w:i/>
          <w:szCs w:val="24"/>
        </w:rPr>
        <w:t>Changes</w:t>
      </w:r>
      <w:r>
        <w:rPr>
          <w:b/>
          <w:szCs w:val="24"/>
        </w:rPr>
        <w:t xml:space="preserve"> in </w:t>
      </w:r>
      <w:r w:rsidRPr="007217B0">
        <w:rPr>
          <w:b/>
          <w:szCs w:val="24"/>
        </w:rPr>
        <w:t>Global Mean Temperature and the Atmospheric Concentration</w:t>
      </w:r>
      <w:r>
        <w:rPr>
          <w:b/>
          <w:szCs w:val="24"/>
        </w:rPr>
        <w:t xml:space="preserve"> </w:t>
      </w:r>
      <w:r w:rsidRPr="007217B0">
        <w:rPr>
          <w:b/>
          <w:szCs w:val="24"/>
        </w:rPr>
        <w:t>of Carbon Dioxide</w:t>
      </w:r>
    </w:p>
    <w:p w:rsidR="00564F12" w:rsidRDefault="00564F12" w:rsidP="00564F12">
      <w:pPr>
        <w:spacing w:line="240" w:lineRule="auto"/>
        <w:jc w:val="both"/>
        <w:rPr>
          <w:szCs w:val="24"/>
        </w:rPr>
      </w:pPr>
      <w:r>
        <w:rPr>
          <w:noProof/>
          <w:szCs w:val="24"/>
          <w:lang w:val="en-US"/>
        </w:rPr>
        <w:drawing>
          <wp:inline distT="0" distB="0" distL="0" distR="0">
            <wp:extent cx="5734050" cy="3752850"/>
            <wp:effectExtent l="1905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34050" cy="3752850"/>
                    </a:xfrm>
                    <a:prstGeom prst="rect">
                      <a:avLst/>
                    </a:prstGeom>
                    <a:noFill/>
                    <a:ln w="9525">
                      <a:noFill/>
                      <a:miter lim="800000"/>
                      <a:headEnd/>
                      <a:tailEnd/>
                    </a:ln>
                  </pic:spPr>
                </pic:pic>
              </a:graphicData>
            </a:graphic>
          </wp:inline>
        </w:drawing>
      </w:r>
    </w:p>
    <w:p w:rsidR="00564F12" w:rsidRDefault="00564F12" w:rsidP="00564F12">
      <w:pPr>
        <w:spacing w:line="240" w:lineRule="auto"/>
        <w:rPr>
          <w:szCs w:val="24"/>
        </w:rPr>
      </w:pPr>
      <w:r>
        <w:rPr>
          <w:szCs w:val="24"/>
        </w:rPr>
        <w:t>Sources: NASA-GISS, Gistemp, and CDIAC</w:t>
      </w:r>
    </w:p>
    <w:p w:rsidR="00A35CBF" w:rsidRDefault="00A35CBF" w:rsidP="00A35CBF">
      <w:pPr>
        <w:pStyle w:val="PlainText"/>
        <w:jc w:val="center"/>
        <w:rPr>
          <w:szCs w:val="24"/>
        </w:rPr>
      </w:pPr>
    </w:p>
    <w:p w:rsidR="00564F12" w:rsidRDefault="00564F12" w:rsidP="00564F12">
      <w:pPr>
        <w:spacing w:line="240" w:lineRule="auto"/>
        <w:jc w:val="both"/>
        <w:rPr>
          <w:szCs w:val="24"/>
        </w:rPr>
      </w:pPr>
      <w:r>
        <w:rPr>
          <w:szCs w:val="24"/>
        </w:rPr>
        <w:t>Given the failure of tests of the simple IPCC model adequately to explain either the time series of absolute GMT or annual changes thereof, we could expand the model to include a variable reflecting the known global influence of the El Nino-La Nina phenomenon, as measured by the ENSO or MEI.</w:t>
      </w:r>
      <w:r w:rsidRPr="00F278C1">
        <w:rPr>
          <w:lang w:val="en-GB"/>
        </w:rPr>
        <w:t xml:space="preserve"> </w:t>
      </w:r>
      <w:r>
        <w:rPr>
          <w:lang w:val="en-GB"/>
        </w:rPr>
        <w:t xml:space="preserve">See Table </w:t>
      </w:r>
      <w:r w:rsidR="00640DBF">
        <w:rPr>
          <w:lang w:val="en-GB"/>
        </w:rPr>
        <w:t>A2.5</w:t>
      </w:r>
      <w:r>
        <w:rPr>
          <w:lang w:val="en-GB"/>
        </w:rPr>
        <w:t xml:space="preserve"> for a regression model of changes in </w:t>
      </w:r>
      <w:proofErr w:type="spellStart"/>
      <w:r>
        <w:rPr>
          <w:lang w:val="en-GB"/>
        </w:rPr>
        <w:t>Gistemp’s</w:t>
      </w:r>
      <w:proofErr w:type="spellEnd"/>
      <w:r>
        <w:rPr>
          <w:lang w:val="en-GB"/>
        </w:rPr>
        <w:t xml:space="preserve"> GMT on changes in [CO2] and the ENSO MEI index, showing the latter plays a very statistically significant role.</w:t>
      </w:r>
    </w:p>
    <w:p w:rsidR="00851B9D" w:rsidRPr="00DD3103" w:rsidRDefault="00851B9D" w:rsidP="00851B9D">
      <w:pPr>
        <w:spacing w:line="240" w:lineRule="auto"/>
        <w:jc w:val="both"/>
        <w:rPr>
          <w:szCs w:val="24"/>
        </w:rPr>
      </w:pPr>
      <w:r>
        <w:rPr>
          <w:szCs w:val="24"/>
        </w:rPr>
        <w:t>W</w:t>
      </w:r>
      <w:r w:rsidRPr="00DD3103">
        <w:rPr>
          <w:szCs w:val="24"/>
        </w:rPr>
        <w:t xml:space="preserve">ith the Durbin-Watson at 2.938, all VIF values at less than 2.5, and all Eigenvalues acceptable (well above 0.0), the </w:t>
      </w:r>
      <w:r>
        <w:rPr>
          <w:szCs w:val="24"/>
        </w:rPr>
        <w:t xml:space="preserve">results </w:t>
      </w:r>
      <w:r w:rsidRPr="00DD3103">
        <w:rPr>
          <w:szCs w:val="24"/>
        </w:rPr>
        <w:t xml:space="preserve">in Table </w:t>
      </w:r>
      <w:r>
        <w:rPr>
          <w:szCs w:val="24"/>
        </w:rPr>
        <w:t>4.3</w:t>
      </w:r>
      <w:r w:rsidRPr="00DD3103">
        <w:rPr>
          <w:szCs w:val="24"/>
        </w:rPr>
        <w:t xml:space="preserve"> </w:t>
      </w:r>
      <w:r>
        <w:rPr>
          <w:szCs w:val="24"/>
        </w:rPr>
        <w:t xml:space="preserve">show </w:t>
      </w:r>
      <w:r w:rsidRPr="00DD3103">
        <w:rPr>
          <w:szCs w:val="24"/>
        </w:rPr>
        <w:t>the insignificance of the [CO</w:t>
      </w:r>
      <w:r w:rsidRPr="00DD3103">
        <w:rPr>
          <w:szCs w:val="24"/>
          <w:vertAlign w:val="subscript"/>
        </w:rPr>
        <w:t>2</w:t>
      </w:r>
      <w:r w:rsidRPr="00DD3103">
        <w:rPr>
          <w:szCs w:val="24"/>
        </w:rPr>
        <w:t>] variable, and confirm the large importance of the atmospheric water vapour [H</w:t>
      </w:r>
      <w:r w:rsidRPr="00DD3103">
        <w:rPr>
          <w:szCs w:val="24"/>
          <w:vertAlign w:val="subscript"/>
        </w:rPr>
        <w:t>2</w:t>
      </w:r>
      <w:r w:rsidRPr="00DD3103">
        <w:rPr>
          <w:szCs w:val="24"/>
        </w:rPr>
        <w:t>O], and total sky cover (“TOT”) variables, while the net surface solar radiation variable “AVGLO” is close to being statistically significant (</w:t>
      </w:r>
      <w:r w:rsidRPr="00DD3103">
        <w:rPr>
          <w:i/>
          <w:szCs w:val="24"/>
        </w:rPr>
        <w:t>t=1.9, P=0.06</w:t>
      </w:r>
      <w:r w:rsidRPr="00DD3103">
        <w:rPr>
          <w:szCs w:val="24"/>
        </w:rPr>
        <w:t>)</w:t>
      </w:r>
      <w:r>
        <w:rPr>
          <w:szCs w:val="24"/>
        </w:rPr>
        <w:t xml:space="preserve"> (see Appendix 1 for definitions of these variables)</w:t>
      </w:r>
      <w:r w:rsidRPr="00DD3103">
        <w:rPr>
          <w:szCs w:val="24"/>
        </w:rPr>
        <w:t>.</w:t>
      </w:r>
    </w:p>
    <w:p w:rsidR="00640DBF" w:rsidRDefault="00640DBF">
      <w:pPr>
        <w:rPr>
          <w:b/>
          <w:szCs w:val="24"/>
        </w:rPr>
      </w:pPr>
    </w:p>
    <w:p w:rsidR="00A73797" w:rsidRDefault="00A73797">
      <w:pPr>
        <w:rPr>
          <w:b/>
          <w:szCs w:val="24"/>
        </w:rPr>
      </w:pPr>
      <w:r>
        <w:rPr>
          <w:b/>
          <w:szCs w:val="24"/>
        </w:rPr>
        <w:br w:type="page"/>
      </w:r>
    </w:p>
    <w:p w:rsidR="00851B9D" w:rsidRPr="00640DBF" w:rsidRDefault="00640DBF" w:rsidP="001F6C7B">
      <w:pPr>
        <w:autoSpaceDE w:val="0"/>
        <w:autoSpaceDN w:val="0"/>
        <w:adjustRightInd w:val="0"/>
        <w:spacing w:after="0" w:line="240" w:lineRule="auto"/>
        <w:rPr>
          <w:b/>
          <w:szCs w:val="24"/>
        </w:rPr>
      </w:pPr>
      <w:r w:rsidRPr="00640DBF">
        <w:rPr>
          <w:b/>
          <w:szCs w:val="24"/>
        </w:rPr>
        <w:lastRenderedPageBreak/>
        <w:t xml:space="preserve">Appendix A2.2 </w:t>
      </w:r>
      <w:proofErr w:type="gramStart"/>
      <w:r w:rsidRPr="00640DBF">
        <w:rPr>
          <w:b/>
          <w:szCs w:val="24"/>
        </w:rPr>
        <w:t>Selected</w:t>
      </w:r>
      <w:proofErr w:type="gramEnd"/>
      <w:r w:rsidRPr="00640DBF">
        <w:rPr>
          <w:b/>
          <w:szCs w:val="24"/>
        </w:rPr>
        <w:t xml:space="preserve"> </w:t>
      </w:r>
      <w:r w:rsidRPr="00640DBF">
        <w:rPr>
          <w:b/>
          <w:i/>
          <w:szCs w:val="24"/>
        </w:rPr>
        <w:t>in situ</w:t>
      </w:r>
      <w:r w:rsidRPr="00640DBF">
        <w:rPr>
          <w:b/>
          <w:szCs w:val="24"/>
        </w:rPr>
        <w:t xml:space="preserve"> regression results</w:t>
      </w:r>
    </w:p>
    <w:p w:rsidR="00851B9D" w:rsidRPr="00640DBF" w:rsidRDefault="00851B9D" w:rsidP="001F6C7B">
      <w:pPr>
        <w:autoSpaceDE w:val="0"/>
        <w:autoSpaceDN w:val="0"/>
        <w:adjustRightInd w:val="0"/>
        <w:spacing w:after="0" w:line="240" w:lineRule="auto"/>
        <w:rPr>
          <w:szCs w:val="24"/>
        </w:rPr>
      </w:pPr>
    </w:p>
    <w:p w:rsidR="0059647F" w:rsidRPr="00640DBF" w:rsidRDefault="00B32859" w:rsidP="009A1207">
      <w:pPr>
        <w:jc w:val="both"/>
        <w:rPr>
          <w:b/>
          <w:szCs w:val="24"/>
        </w:rPr>
      </w:pPr>
      <w:r>
        <w:rPr>
          <w:rFonts w:eastAsia="MS Mincho" w:hAnsi="MS Mincho"/>
          <w:iCs/>
          <w:color w:val="333333"/>
          <w:szCs w:val="24"/>
          <w:lang w:eastAsia="en-AU"/>
        </w:rPr>
        <w:t xml:space="preserve">The regression </w:t>
      </w:r>
      <w:r w:rsidR="00A35CBF">
        <w:rPr>
          <w:rFonts w:eastAsia="MS Mincho" w:hAnsi="MS Mincho"/>
          <w:iCs/>
          <w:color w:val="333333"/>
          <w:szCs w:val="24"/>
          <w:lang w:eastAsia="en-AU"/>
        </w:rPr>
        <w:t>u</w:t>
      </w:r>
      <w:r>
        <w:rPr>
          <w:rFonts w:eastAsia="MS Mincho" w:hAnsi="MS Mincho"/>
          <w:iCs/>
          <w:color w:val="333333"/>
          <w:szCs w:val="24"/>
          <w:lang w:eastAsia="en-AU"/>
        </w:rPr>
        <w:t>sing climatic data for New York City (19</w:t>
      </w:r>
      <w:r w:rsidR="00A35CBF">
        <w:rPr>
          <w:rFonts w:eastAsia="MS Mincho" w:hAnsi="MS Mincho"/>
          <w:iCs/>
          <w:color w:val="333333"/>
          <w:szCs w:val="24"/>
          <w:lang w:eastAsia="en-AU"/>
        </w:rPr>
        <w:t>60-2006) has results consistent with reported in the main text. Once again the [H2O] variable dominates the [CO2] variable.</w:t>
      </w:r>
      <w:r w:rsidR="001C345E" w:rsidRPr="00640DBF">
        <w:rPr>
          <w:rFonts w:eastAsia="MS Mincho" w:hAnsi="MS Mincho"/>
          <w:i/>
          <w:iCs/>
          <w:color w:val="333333"/>
          <w:szCs w:val="24"/>
          <w:lang w:eastAsia="en-AU"/>
        </w:rPr>
        <w:t> </w:t>
      </w:r>
      <w:r w:rsidR="009A1207" w:rsidRPr="00640DBF">
        <w:rPr>
          <w:b/>
          <w:szCs w:val="24"/>
        </w:rPr>
        <w:t xml:space="preserve"> </w:t>
      </w:r>
    </w:p>
    <w:p w:rsidR="00721EEE" w:rsidRPr="001944F8" w:rsidRDefault="00721EEE" w:rsidP="00721EEE">
      <w:pPr>
        <w:rPr>
          <w:b/>
          <w:szCs w:val="24"/>
          <w:lang w:val="en-GB"/>
        </w:rPr>
      </w:pPr>
      <w:r w:rsidRPr="001944F8">
        <w:rPr>
          <w:b/>
          <w:szCs w:val="24"/>
          <w:lang w:val="en-GB"/>
        </w:rPr>
        <w:t xml:space="preserve">Table </w:t>
      </w:r>
      <w:proofErr w:type="gramStart"/>
      <w:r w:rsidRPr="001944F8">
        <w:rPr>
          <w:b/>
          <w:szCs w:val="24"/>
          <w:lang w:val="en-GB"/>
        </w:rPr>
        <w:t xml:space="preserve">2.2.1 </w:t>
      </w:r>
      <w:r w:rsidRPr="001944F8">
        <w:rPr>
          <w:szCs w:val="24"/>
          <w:lang w:val="en-GB"/>
        </w:rPr>
        <w:t xml:space="preserve"> </w:t>
      </w:r>
      <w:r w:rsidRPr="001944F8">
        <w:rPr>
          <w:b/>
          <w:szCs w:val="24"/>
          <w:lang w:val="en-GB"/>
        </w:rPr>
        <w:t>Regression</w:t>
      </w:r>
      <w:proofErr w:type="gramEnd"/>
      <w:r w:rsidRPr="001944F8">
        <w:rPr>
          <w:b/>
          <w:szCs w:val="24"/>
          <w:lang w:val="en-GB"/>
        </w:rPr>
        <w:t xml:space="preserve"> of climate data, New York City (JFK) 1960-2006</w:t>
      </w:r>
    </w:p>
    <w:tbl>
      <w:tblPr>
        <w:tblW w:w="5000" w:type="pct"/>
        <w:tblBorders>
          <w:top w:val="single" w:sz="8" w:space="0" w:color="4F81BD"/>
          <w:bottom w:val="single" w:sz="8" w:space="0" w:color="4F81BD"/>
        </w:tblBorders>
        <w:tblLook w:val="0660"/>
      </w:tblPr>
      <w:tblGrid>
        <w:gridCol w:w="5370"/>
        <w:gridCol w:w="1290"/>
        <w:gridCol w:w="1290"/>
        <w:gridCol w:w="1292"/>
      </w:tblGrid>
      <w:tr w:rsidR="00721EEE" w:rsidRPr="001944F8" w:rsidTr="00C54A23">
        <w:tc>
          <w:tcPr>
            <w:tcW w:w="2848" w:type="pct"/>
            <w:tcBorders>
              <w:top w:val="single" w:sz="8" w:space="0" w:color="4F81BD"/>
              <w:left w:val="nil"/>
              <w:bottom w:val="single" w:sz="8" w:space="0" w:color="4F81BD"/>
              <w:right w:val="nil"/>
            </w:tcBorders>
            <w:noWrap/>
          </w:tcPr>
          <w:p w:rsidR="00721EEE" w:rsidRPr="001944F8" w:rsidRDefault="00721EEE" w:rsidP="00C54A23">
            <w:pPr>
              <w:spacing w:after="0" w:line="240" w:lineRule="auto"/>
              <w:rPr>
                <w:b/>
                <w:bCs/>
                <w:szCs w:val="24"/>
                <w:lang w:val="en-US"/>
              </w:rPr>
            </w:pPr>
            <w:r w:rsidRPr="001944F8">
              <w:rPr>
                <w:b/>
                <w:bCs/>
                <w:szCs w:val="24"/>
                <w:lang w:val="en-US"/>
              </w:rPr>
              <w:t>Change in Annual Mean Maximum Temperatures</w:t>
            </w:r>
          </w:p>
        </w:tc>
        <w:tc>
          <w:tcPr>
            <w:tcW w:w="717" w:type="pct"/>
            <w:tcBorders>
              <w:top w:val="single" w:sz="8" w:space="0" w:color="4F81BD"/>
              <w:left w:val="nil"/>
              <w:bottom w:val="single" w:sz="8" w:space="0" w:color="4F81BD"/>
              <w:right w:val="nil"/>
            </w:tcBorders>
          </w:tcPr>
          <w:p w:rsidR="00721EEE" w:rsidRPr="001944F8" w:rsidRDefault="00721EEE" w:rsidP="00C54A23">
            <w:pPr>
              <w:spacing w:after="0" w:line="240" w:lineRule="auto"/>
              <w:rPr>
                <w:b/>
                <w:bCs/>
                <w:szCs w:val="24"/>
                <w:lang w:val="en-US"/>
              </w:rPr>
            </w:pPr>
          </w:p>
        </w:tc>
        <w:tc>
          <w:tcPr>
            <w:tcW w:w="717" w:type="pct"/>
            <w:tcBorders>
              <w:top w:val="single" w:sz="8" w:space="0" w:color="4F81BD"/>
              <w:left w:val="nil"/>
              <w:bottom w:val="single" w:sz="8" w:space="0" w:color="4F81BD"/>
              <w:right w:val="nil"/>
            </w:tcBorders>
          </w:tcPr>
          <w:p w:rsidR="00721EEE" w:rsidRPr="001944F8" w:rsidRDefault="00721EEE" w:rsidP="00C54A23">
            <w:pPr>
              <w:spacing w:after="0" w:line="240" w:lineRule="auto"/>
              <w:rPr>
                <w:b/>
                <w:bCs/>
                <w:szCs w:val="24"/>
                <w:lang w:val="en-US"/>
              </w:rPr>
            </w:pPr>
            <w:r w:rsidRPr="001944F8">
              <w:rPr>
                <w:b/>
                <w:bCs/>
                <w:szCs w:val="24"/>
                <w:lang w:val="en-US"/>
              </w:rPr>
              <w:t>t-statistics</w:t>
            </w:r>
          </w:p>
        </w:tc>
        <w:tc>
          <w:tcPr>
            <w:tcW w:w="718" w:type="pct"/>
            <w:tcBorders>
              <w:top w:val="single" w:sz="8" w:space="0" w:color="4F81BD"/>
              <w:left w:val="nil"/>
              <w:bottom w:val="single" w:sz="8" w:space="0" w:color="4F81BD"/>
              <w:right w:val="nil"/>
            </w:tcBorders>
          </w:tcPr>
          <w:p w:rsidR="00721EEE" w:rsidRPr="001944F8" w:rsidRDefault="00721EEE" w:rsidP="00C54A23">
            <w:pPr>
              <w:spacing w:after="0" w:line="240" w:lineRule="auto"/>
              <w:rPr>
                <w:b/>
                <w:bCs/>
                <w:szCs w:val="24"/>
                <w:lang w:val="en-US"/>
              </w:rPr>
            </w:pPr>
            <w:r w:rsidRPr="001944F8">
              <w:rPr>
                <w:b/>
                <w:bCs/>
                <w:szCs w:val="24"/>
                <w:lang w:val="en-US"/>
              </w:rPr>
              <w:t>p-values</w:t>
            </w:r>
          </w:p>
        </w:tc>
      </w:tr>
      <w:tr w:rsidR="00721EEE" w:rsidRPr="001944F8" w:rsidTr="00C54A23">
        <w:tc>
          <w:tcPr>
            <w:tcW w:w="2848" w:type="pct"/>
            <w:noWrap/>
          </w:tcPr>
          <w:p w:rsidR="00721EEE" w:rsidRPr="001944F8" w:rsidRDefault="00721EEE" w:rsidP="00C54A23">
            <w:pPr>
              <w:spacing w:after="0" w:line="240" w:lineRule="auto"/>
              <w:rPr>
                <w:szCs w:val="24"/>
                <w:lang w:val="en-US"/>
              </w:rPr>
            </w:pPr>
          </w:p>
        </w:tc>
        <w:tc>
          <w:tcPr>
            <w:tcW w:w="717" w:type="pct"/>
          </w:tcPr>
          <w:p w:rsidR="00721EEE" w:rsidRPr="001944F8" w:rsidRDefault="00721EEE" w:rsidP="00C54A23">
            <w:pPr>
              <w:spacing w:after="0" w:line="240" w:lineRule="auto"/>
              <w:rPr>
                <w:rStyle w:val="SubtleEmphasis"/>
                <w:rFonts w:eastAsiaTheme="minorHAnsi"/>
                <w:sz w:val="24"/>
                <w:szCs w:val="24"/>
              </w:rPr>
            </w:pPr>
          </w:p>
        </w:tc>
        <w:tc>
          <w:tcPr>
            <w:tcW w:w="717" w:type="pct"/>
          </w:tcPr>
          <w:p w:rsidR="00721EEE" w:rsidRPr="001944F8" w:rsidRDefault="00721EEE" w:rsidP="00C54A23">
            <w:pPr>
              <w:spacing w:after="0" w:line="240" w:lineRule="auto"/>
              <w:rPr>
                <w:szCs w:val="24"/>
                <w:lang w:val="en-US"/>
              </w:rPr>
            </w:pPr>
          </w:p>
        </w:tc>
        <w:tc>
          <w:tcPr>
            <w:tcW w:w="718" w:type="pct"/>
          </w:tcPr>
          <w:p w:rsidR="00721EEE" w:rsidRPr="001944F8" w:rsidRDefault="00721EEE" w:rsidP="00C54A23">
            <w:pPr>
              <w:spacing w:after="0" w:line="240" w:lineRule="auto"/>
              <w:rPr>
                <w:szCs w:val="24"/>
                <w:lang w:val="en-US"/>
              </w:rPr>
            </w:pPr>
          </w:p>
        </w:tc>
      </w:tr>
      <w:tr w:rsidR="00721EEE" w:rsidRPr="001944F8" w:rsidTr="00C54A23">
        <w:tc>
          <w:tcPr>
            <w:tcW w:w="2848" w:type="pct"/>
            <w:noWrap/>
          </w:tcPr>
          <w:p w:rsidR="00721EEE" w:rsidRPr="001944F8" w:rsidRDefault="00721EEE" w:rsidP="00C54A23">
            <w:pPr>
              <w:spacing w:after="0" w:line="240" w:lineRule="auto"/>
              <w:rPr>
                <w:szCs w:val="24"/>
                <w:lang w:val="en-US"/>
              </w:rPr>
            </w:pPr>
            <w:r w:rsidRPr="001944F8">
              <w:rPr>
                <w:szCs w:val="24"/>
                <w:lang w:val="en-US"/>
              </w:rPr>
              <w:t>Constant</w:t>
            </w:r>
          </w:p>
        </w:tc>
        <w:tc>
          <w:tcPr>
            <w:tcW w:w="717" w:type="pct"/>
          </w:tcPr>
          <w:p w:rsidR="00721EEE" w:rsidRPr="001944F8" w:rsidRDefault="00721EEE" w:rsidP="00C54A23">
            <w:pPr>
              <w:pStyle w:val="DecimalAligned"/>
              <w:spacing w:after="0" w:line="240" w:lineRule="auto"/>
              <w:rPr>
                <w:rFonts w:ascii="Times New Roman" w:hAnsi="Times New Roman"/>
                <w:sz w:val="24"/>
                <w:szCs w:val="24"/>
              </w:rPr>
            </w:pPr>
          </w:p>
        </w:tc>
        <w:tc>
          <w:tcPr>
            <w:tcW w:w="717" w:type="pct"/>
          </w:tcPr>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-0.39</w:t>
            </w:r>
          </w:p>
        </w:tc>
        <w:tc>
          <w:tcPr>
            <w:tcW w:w="718" w:type="pct"/>
          </w:tcPr>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0.70</w:t>
            </w:r>
          </w:p>
        </w:tc>
      </w:tr>
      <w:tr w:rsidR="00721EEE" w:rsidRPr="001944F8" w:rsidTr="00C54A23">
        <w:tc>
          <w:tcPr>
            <w:tcW w:w="2848" w:type="pct"/>
            <w:noWrap/>
          </w:tcPr>
          <w:p w:rsidR="00721EEE" w:rsidRPr="001944F8" w:rsidRDefault="00721EEE" w:rsidP="00C54A23">
            <w:pPr>
              <w:spacing w:after="0" w:line="240" w:lineRule="auto"/>
              <w:rPr>
                <w:szCs w:val="24"/>
                <w:lang w:val="en-US"/>
              </w:rPr>
            </w:pPr>
            <w:r w:rsidRPr="001944F8">
              <w:rPr>
                <w:szCs w:val="24"/>
                <w:lang w:val="en-US"/>
              </w:rPr>
              <w:t>Change in [CO</w:t>
            </w:r>
            <w:r w:rsidRPr="001944F8">
              <w:rPr>
                <w:szCs w:val="24"/>
                <w:vertAlign w:val="subscript"/>
                <w:lang w:val="en-US"/>
              </w:rPr>
              <w:t>2</w:t>
            </w:r>
            <w:r w:rsidRPr="001944F8">
              <w:rPr>
                <w:szCs w:val="24"/>
                <w:lang w:val="en-US"/>
              </w:rPr>
              <w:t>]</w:t>
            </w:r>
          </w:p>
        </w:tc>
        <w:tc>
          <w:tcPr>
            <w:tcW w:w="717" w:type="pct"/>
          </w:tcPr>
          <w:p w:rsidR="00721EEE" w:rsidRPr="001944F8" w:rsidRDefault="00721EEE" w:rsidP="00C54A23">
            <w:pPr>
              <w:pStyle w:val="DecimalAligned"/>
              <w:spacing w:after="0" w:line="240" w:lineRule="auto"/>
              <w:rPr>
                <w:rFonts w:ascii="Times New Roman" w:hAnsi="Times New Roman"/>
                <w:sz w:val="24"/>
                <w:szCs w:val="24"/>
              </w:rPr>
            </w:pPr>
          </w:p>
        </w:tc>
        <w:tc>
          <w:tcPr>
            <w:tcW w:w="717" w:type="pct"/>
          </w:tcPr>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0.14</w:t>
            </w:r>
          </w:p>
        </w:tc>
        <w:tc>
          <w:tcPr>
            <w:tcW w:w="718" w:type="pct"/>
          </w:tcPr>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0.89</w:t>
            </w:r>
          </w:p>
        </w:tc>
      </w:tr>
      <w:tr w:rsidR="00721EEE" w:rsidRPr="001944F8" w:rsidTr="00C54A23">
        <w:tc>
          <w:tcPr>
            <w:tcW w:w="2848" w:type="pct"/>
            <w:noWrap/>
          </w:tcPr>
          <w:p w:rsidR="00721EEE" w:rsidRPr="001944F8" w:rsidRDefault="00721EEE" w:rsidP="00C54A23">
            <w:pPr>
              <w:spacing w:after="0" w:line="240" w:lineRule="auto"/>
              <w:rPr>
                <w:szCs w:val="24"/>
                <w:lang w:val="en-US"/>
              </w:rPr>
            </w:pPr>
            <w:r w:rsidRPr="001944F8">
              <w:rPr>
                <w:szCs w:val="24"/>
                <w:lang w:val="en-US"/>
              </w:rPr>
              <w:t>Change in [H</w:t>
            </w:r>
            <w:r w:rsidRPr="001944F8">
              <w:rPr>
                <w:szCs w:val="24"/>
                <w:vertAlign w:val="subscript"/>
                <w:lang w:val="en-US"/>
              </w:rPr>
              <w:t>2</w:t>
            </w:r>
            <w:r w:rsidRPr="001944F8">
              <w:rPr>
                <w:szCs w:val="24"/>
                <w:lang w:val="en-US"/>
              </w:rPr>
              <w:t>O]</w:t>
            </w:r>
          </w:p>
          <w:p w:rsidR="00721EEE" w:rsidRPr="001944F8" w:rsidRDefault="00721EEE" w:rsidP="00C54A23">
            <w:pPr>
              <w:spacing w:after="0" w:line="240" w:lineRule="auto"/>
              <w:rPr>
                <w:szCs w:val="24"/>
                <w:lang w:val="en-US"/>
              </w:rPr>
            </w:pPr>
            <w:r w:rsidRPr="001944F8">
              <w:rPr>
                <w:szCs w:val="24"/>
                <w:lang w:val="en-US"/>
              </w:rPr>
              <w:t>Change in OPQ</w:t>
            </w:r>
          </w:p>
          <w:p w:rsidR="00721EEE" w:rsidRPr="001944F8" w:rsidRDefault="00721EEE" w:rsidP="00C54A23">
            <w:pPr>
              <w:spacing w:after="0" w:line="240" w:lineRule="auto"/>
              <w:rPr>
                <w:szCs w:val="24"/>
                <w:lang w:val="en-US"/>
              </w:rPr>
            </w:pPr>
          </w:p>
        </w:tc>
        <w:tc>
          <w:tcPr>
            <w:tcW w:w="717" w:type="pct"/>
          </w:tcPr>
          <w:p w:rsidR="00721EEE" w:rsidRPr="001944F8" w:rsidRDefault="00721EEE" w:rsidP="00C54A23">
            <w:pPr>
              <w:pStyle w:val="DecimalAligned"/>
              <w:spacing w:after="0" w:line="240" w:lineRule="auto"/>
              <w:rPr>
                <w:rFonts w:ascii="Times New Roman" w:hAnsi="Times New Roman"/>
                <w:sz w:val="24"/>
                <w:szCs w:val="24"/>
              </w:rPr>
            </w:pPr>
          </w:p>
        </w:tc>
        <w:tc>
          <w:tcPr>
            <w:tcW w:w="717" w:type="pct"/>
          </w:tcPr>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9.64</w:t>
            </w:r>
          </w:p>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-1.49</w:t>
            </w:r>
          </w:p>
          <w:p w:rsidR="00721EEE" w:rsidRPr="001944F8" w:rsidRDefault="00721EEE" w:rsidP="00C54A23">
            <w:pPr>
              <w:pStyle w:val="DecimalAligned"/>
              <w:spacing w:after="0" w:line="240" w:lineRule="auto"/>
              <w:rPr>
                <w:rFonts w:ascii="Times New Roman" w:hAnsi="Times New Roman"/>
                <w:sz w:val="24"/>
                <w:szCs w:val="24"/>
              </w:rPr>
            </w:pPr>
          </w:p>
        </w:tc>
        <w:tc>
          <w:tcPr>
            <w:tcW w:w="718" w:type="pct"/>
          </w:tcPr>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0.000</w:t>
            </w:r>
          </w:p>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0.14</w:t>
            </w:r>
          </w:p>
        </w:tc>
      </w:tr>
      <w:tr w:rsidR="00721EEE" w:rsidRPr="001944F8" w:rsidTr="00C54A23">
        <w:tc>
          <w:tcPr>
            <w:tcW w:w="2848" w:type="pct"/>
            <w:noWrap/>
          </w:tcPr>
          <w:p w:rsidR="00721EEE" w:rsidRPr="001944F8" w:rsidRDefault="00721EEE" w:rsidP="00C54A23">
            <w:pPr>
              <w:spacing w:after="0" w:line="240" w:lineRule="auto"/>
              <w:rPr>
                <w:szCs w:val="24"/>
                <w:lang w:val="en-US"/>
              </w:rPr>
            </w:pPr>
            <w:r w:rsidRPr="001944F8">
              <w:rPr>
                <w:szCs w:val="24"/>
                <w:lang w:val="en-US"/>
              </w:rPr>
              <w:t>Standard Error</w:t>
            </w:r>
          </w:p>
          <w:p w:rsidR="00721EEE" w:rsidRPr="001944F8" w:rsidRDefault="00721EEE" w:rsidP="00C54A23">
            <w:pPr>
              <w:spacing w:after="0" w:line="240" w:lineRule="auto"/>
              <w:rPr>
                <w:b/>
                <w:szCs w:val="24"/>
                <w:lang w:val="en-US"/>
              </w:rPr>
            </w:pPr>
            <w:r w:rsidRPr="001944F8">
              <w:rPr>
                <w:szCs w:val="24"/>
                <w:lang w:val="en-US"/>
              </w:rPr>
              <w:t>Adjusted R</w:t>
            </w:r>
            <w:r w:rsidRPr="001944F8">
              <w:rPr>
                <w:szCs w:val="24"/>
                <w:vertAlign w:val="superscript"/>
                <w:lang w:val="en-US"/>
              </w:rPr>
              <w:t>2</w:t>
            </w:r>
          </w:p>
        </w:tc>
        <w:tc>
          <w:tcPr>
            <w:tcW w:w="717" w:type="pct"/>
          </w:tcPr>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1.86</w:t>
            </w:r>
          </w:p>
          <w:p w:rsidR="00721EEE" w:rsidRPr="001944F8" w:rsidRDefault="00721EEE" w:rsidP="00C54A23">
            <w:pPr>
              <w:pStyle w:val="DecimalAligned"/>
              <w:spacing w:after="0" w:line="240" w:lineRule="auto"/>
              <w:rPr>
                <w:rFonts w:ascii="Times New Roman" w:hAnsi="Times New Roman"/>
                <w:sz w:val="24"/>
                <w:szCs w:val="24"/>
              </w:rPr>
            </w:pPr>
            <w:r w:rsidRPr="001944F8">
              <w:rPr>
                <w:rFonts w:ascii="Times New Roman" w:hAnsi="Times New Roman"/>
                <w:sz w:val="24"/>
                <w:szCs w:val="24"/>
              </w:rPr>
              <w:t>0.69</w:t>
            </w:r>
          </w:p>
        </w:tc>
        <w:tc>
          <w:tcPr>
            <w:tcW w:w="717" w:type="pct"/>
          </w:tcPr>
          <w:p w:rsidR="00721EEE" w:rsidRPr="001944F8" w:rsidRDefault="00721EEE" w:rsidP="00C54A23">
            <w:pPr>
              <w:pStyle w:val="DecimalAligned"/>
              <w:spacing w:after="0" w:line="240" w:lineRule="auto"/>
              <w:rPr>
                <w:rFonts w:ascii="Times New Roman" w:hAnsi="Times New Roman"/>
                <w:sz w:val="24"/>
                <w:szCs w:val="24"/>
              </w:rPr>
            </w:pPr>
          </w:p>
        </w:tc>
        <w:tc>
          <w:tcPr>
            <w:tcW w:w="718" w:type="pct"/>
          </w:tcPr>
          <w:p w:rsidR="00721EEE" w:rsidRPr="001944F8" w:rsidRDefault="00721EEE" w:rsidP="00C54A23">
            <w:pPr>
              <w:pStyle w:val="DecimalAligned"/>
              <w:spacing w:after="0" w:line="240" w:lineRule="auto"/>
              <w:rPr>
                <w:rFonts w:ascii="Times New Roman" w:hAnsi="Times New Roman"/>
                <w:sz w:val="24"/>
                <w:szCs w:val="24"/>
              </w:rPr>
            </w:pPr>
          </w:p>
        </w:tc>
      </w:tr>
      <w:tr w:rsidR="00721EEE" w:rsidRPr="001944F8" w:rsidTr="00C54A23">
        <w:tc>
          <w:tcPr>
            <w:tcW w:w="2848" w:type="pct"/>
            <w:tcBorders>
              <w:top w:val="single" w:sz="8" w:space="0" w:color="4F81BD"/>
              <w:left w:val="nil"/>
              <w:bottom w:val="single" w:sz="8" w:space="0" w:color="4F81BD"/>
              <w:right w:val="nil"/>
            </w:tcBorders>
            <w:noWrap/>
          </w:tcPr>
          <w:p w:rsidR="00721EEE" w:rsidRPr="001944F8" w:rsidRDefault="00721EEE" w:rsidP="00C54A23">
            <w:pPr>
              <w:spacing w:after="0" w:line="240" w:lineRule="auto"/>
              <w:rPr>
                <w:b/>
                <w:bCs/>
                <w:szCs w:val="24"/>
                <w:lang w:val="en-US"/>
              </w:rPr>
            </w:pPr>
            <w:r w:rsidRPr="001944F8">
              <w:rPr>
                <w:b/>
                <w:bCs/>
                <w:szCs w:val="24"/>
                <w:lang w:val="en-US"/>
              </w:rPr>
              <w:t>Durbin-Watson</w:t>
            </w:r>
          </w:p>
        </w:tc>
        <w:tc>
          <w:tcPr>
            <w:tcW w:w="717" w:type="pct"/>
            <w:tcBorders>
              <w:top w:val="single" w:sz="8" w:space="0" w:color="4F81BD"/>
              <w:left w:val="nil"/>
              <w:bottom w:val="single" w:sz="8" w:space="0" w:color="4F81BD"/>
              <w:right w:val="nil"/>
            </w:tcBorders>
          </w:tcPr>
          <w:p w:rsidR="00721EEE" w:rsidRPr="001944F8" w:rsidRDefault="00721EEE" w:rsidP="00C54A23">
            <w:pPr>
              <w:pStyle w:val="DecimalAligned"/>
              <w:spacing w:after="0" w:line="240" w:lineRule="auto"/>
              <w:rPr>
                <w:rFonts w:ascii="Times New Roman" w:hAnsi="Times New Roman"/>
                <w:b/>
                <w:bCs/>
                <w:sz w:val="24"/>
                <w:szCs w:val="24"/>
              </w:rPr>
            </w:pPr>
            <w:r w:rsidRPr="001944F8">
              <w:rPr>
                <w:rFonts w:ascii="Times New Roman" w:hAnsi="Times New Roman"/>
                <w:b/>
                <w:bCs/>
                <w:sz w:val="24"/>
                <w:szCs w:val="24"/>
              </w:rPr>
              <w:t>2.692</w:t>
            </w:r>
          </w:p>
        </w:tc>
        <w:tc>
          <w:tcPr>
            <w:tcW w:w="717" w:type="pct"/>
            <w:tcBorders>
              <w:top w:val="single" w:sz="8" w:space="0" w:color="4F81BD"/>
              <w:left w:val="nil"/>
              <w:bottom w:val="single" w:sz="8" w:space="0" w:color="4F81BD"/>
              <w:right w:val="nil"/>
            </w:tcBorders>
          </w:tcPr>
          <w:p w:rsidR="00721EEE" w:rsidRPr="001944F8" w:rsidRDefault="00721EEE" w:rsidP="00C54A23">
            <w:pPr>
              <w:pStyle w:val="DecimalAligned"/>
              <w:spacing w:after="0" w:line="240" w:lineRule="auto"/>
              <w:rPr>
                <w:rFonts w:ascii="Times New Roman" w:hAnsi="Times New Roman"/>
                <w:b/>
                <w:bCs/>
                <w:sz w:val="24"/>
                <w:szCs w:val="24"/>
              </w:rPr>
            </w:pPr>
          </w:p>
        </w:tc>
        <w:tc>
          <w:tcPr>
            <w:tcW w:w="718" w:type="pct"/>
            <w:tcBorders>
              <w:top w:val="single" w:sz="8" w:space="0" w:color="4F81BD"/>
              <w:left w:val="nil"/>
              <w:bottom w:val="single" w:sz="8" w:space="0" w:color="4F81BD"/>
              <w:right w:val="nil"/>
            </w:tcBorders>
          </w:tcPr>
          <w:p w:rsidR="00721EEE" w:rsidRPr="001944F8" w:rsidRDefault="00721EEE" w:rsidP="00C54A23">
            <w:pPr>
              <w:pStyle w:val="DecimalAligned"/>
              <w:spacing w:after="0" w:line="240" w:lineRule="auto"/>
              <w:rPr>
                <w:rFonts w:ascii="Times New Roman" w:hAnsi="Times New Roman"/>
                <w:b/>
                <w:bCs/>
                <w:sz w:val="24"/>
                <w:szCs w:val="24"/>
              </w:rPr>
            </w:pPr>
          </w:p>
        </w:tc>
      </w:tr>
    </w:tbl>
    <w:p w:rsidR="00721EEE" w:rsidRDefault="00721EEE" w:rsidP="002D3AE0">
      <w:pPr>
        <w:pStyle w:val="PlainText"/>
        <w:rPr>
          <w:szCs w:val="24"/>
        </w:rPr>
      </w:pPr>
      <w:r w:rsidRPr="002D3AE0">
        <w:rPr>
          <w:rFonts w:ascii="Times New Roman" w:hAnsi="Times New Roman"/>
          <w:sz w:val="20"/>
          <w:szCs w:val="20"/>
        </w:rPr>
        <w:t>Sources:</w:t>
      </w:r>
      <w:r w:rsidR="002D3AE0">
        <w:rPr>
          <w:rFonts w:ascii="Times New Roman" w:hAnsi="Times New Roman"/>
          <w:sz w:val="20"/>
          <w:szCs w:val="20"/>
        </w:rPr>
        <w:t xml:space="preserve"> </w:t>
      </w:r>
      <w:hyperlink r:id="rId16" w:history="1">
        <w:r w:rsidR="002D3AE0" w:rsidRPr="00CF1A9F">
          <w:rPr>
            <w:rStyle w:val="Hyperlink"/>
            <w:rFonts w:ascii="Book Antiqua" w:hAnsi="Book Antiqua"/>
            <w:sz w:val="18"/>
            <w:szCs w:val="18"/>
          </w:rPr>
          <w:t>http://rredc.nrel.gov/solar/old-data/nsrdb/1961-90/dsf/data</w:t>
        </w:r>
      </w:hyperlink>
      <w:r w:rsidR="002D3AE0">
        <w:t xml:space="preserve"> </w:t>
      </w:r>
      <w:r w:rsidR="002D3AE0" w:rsidRPr="00CF1A9F">
        <w:rPr>
          <w:rFonts w:ascii="Book Antiqua" w:hAnsi="Book Antiqua"/>
          <w:color w:val="000000"/>
          <w:sz w:val="18"/>
          <w:szCs w:val="18"/>
        </w:rPr>
        <w:t xml:space="preserve">and </w:t>
      </w:r>
      <w:hyperlink r:id="rId17" w:history="1">
        <w:r w:rsidR="002D3AE0" w:rsidRPr="00BC3A6A">
          <w:rPr>
            <w:rStyle w:val="Hyperlink"/>
            <w:rFonts w:ascii="Book Antiqua" w:hAnsi="Book Antiqua"/>
            <w:sz w:val="18"/>
            <w:szCs w:val="18"/>
          </w:rPr>
          <w:t>http://rredc.nrel.gov/solar/old-data/nsrdb/1991-2005/statistics/data</w:t>
        </w:r>
        <w:r w:rsidR="002D3AE0" w:rsidRPr="00BC3A6A">
          <w:rPr>
            <w:rStyle w:val="Hyperlink"/>
          </w:rPr>
          <w:t xml:space="preserve">. </w:t>
        </w:r>
        <w:r w:rsidR="002D3AE0" w:rsidRPr="00C54A23">
          <w:rPr>
            <w:rStyle w:val="Hyperlink"/>
            <w:rFonts w:ascii="Times New Roman" w:hAnsi="Times New Roman"/>
            <w:sz w:val="20"/>
            <w:szCs w:val="20"/>
          </w:rPr>
          <w:t>For CO</w:t>
        </w:r>
        <w:r w:rsidR="002D3AE0" w:rsidRPr="002D3AE0">
          <w:rPr>
            <w:rStyle w:val="Hyperlink"/>
            <w:rFonts w:ascii="Times New Roman" w:hAnsi="Times New Roman"/>
            <w:sz w:val="20"/>
            <w:szCs w:val="20"/>
            <w:vertAlign w:val="subscript"/>
          </w:rPr>
          <w:t>2</w:t>
        </w:r>
      </w:hyperlink>
      <w:r w:rsidR="002D3AE0">
        <w:t xml:space="preserve">: </w:t>
      </w:r>
      <w:hyperlink r:id="rId18" w:history="1">
        <w:r w:rsidR="002D3AE0" w:rsidRPr="00C54A23">
          <w:rPr>
            <w:rStyle w:val="Hyperlink"/>
            <w:rFonts w:ascii="Times New Roman" w:hAnsi="Times New Roman"/>
            <w:sz w:val="20"/>
            <w:szCs w:val="20"/>
          </w:rPr>
          <w:t>http://www.esrl.noaa.gov/gmd/ccgg/trends/</w:t>
        </w:r>
      </w:hyperlink>
      <w:r w:rsidRPr="001944F8">
        <w:rPr>
          <w:szCs w:val="24"/>
        </w:rPr>
        <w:t xml:space="preserve"> </w:t>
      </w:r>
    </w:p>
    <w:p w:rsidR="002D3AE0" w:rsidRDefault="002D3AE0" w:rsidP="002D3AE0">
      <w:pPr>
        <w:pStyle w:val="PlainText"/>
        <w:jc w:val="both"/>
        <w:rPr>
          <w:szCs w:val="24"/>
        </w:rPr>
      </w:pPr>
    </w:p>
    <w:p w:rsidR="002D3AE0" w:rsidRDefault="002D3AE0" w:rsidP="002D3AE0">
      <w:pPr>
        <w:pStyle w:val="PlainText"/>
        <w:jc w:val="both"/>
      </w:pPr>
    </w:p>
    <w:p w:rsidR="001944F8" w:rsidRPr="001944F8" w:rsidRDefault="001944F8" w:rsidP="001944F8">
      <w:pPr>
        <w:rPr>
          <w:rFonts w:ascii="Book Antiqua" w:hAnsi="Book Antiqua"/>
          <w:b/>
          <w:szCs w:val="24"/>
          <w:lang w:val="en-GB"/>
        </w:rPr>
      </w:pPr>
      <w:r w:rsidRPr="001944F8">
        <w:rPr>
          <w:rFonts w:ascii="Book Antiqua" w:hAnsi="Book Antiqua"/>
          <w:b/>
          <w:szCs w:val="24"/>
          <w:lang w:val="en-GB"/>
        </w:rPr>
        <w:t>Table A2.2.2 Multivariate regression of climatic variables, Hilo (Hawaii) 1960-2006</w:t>
      </w:r>
    </w:p>
    <w:tbl>
      <w:tblPr>
        <w:tblW w:w="5000" w:type="pct"/>
        <w:tblBorders>
          <w:top w:val="single" w:sz="8" w:space="0" w:color="4F81BD"/>
          <w:bottom w:val="single" w:sz="8" w:space="0" w:color="4F81BD"/>
        </w:tblBorders>
        <w:tblLook w:val="0660"/>
      </w:tblPr>
      <w:tblGrid>
        <w:gridCol w:w="5689"/>
        <w:gridCol w:w="1183"/>
        <w:gridCol w:w="1184"/>
        <w:gridCol w:w="1186"/>
      </w:tblGrid>
      <w:tr w:rsidR="001944F8" w:rsidRPr="001944F8" w:rsidTr="00C54A23">
        <w:tc>
          <w:tcPr>
            <w:tcW w:w="1662" w:type="pct"/>
            <w:tcBorders>
              <w:top w:val="single" w:sz="8" w:space="0" w:color="4F81BD"/>
              <w:left w:val="nil"/>
              <w:bottom w:val="single" w:sz="8" w:space="0" w:color="4F81BD"/>
              <w:right w:val="nil"/>
            </w:tcBorders>
            <w:noWrap/>
          </w:tcPr>
          <w:p w:rsidR="001944F8" w:rsidRPr="001944F8" w:rsidRDefault="001944F8" w:rsidP="00C54A23">
            <w:pPr>
              <w:spacing w:after="0" w:line="240" w:lineRule="auto"/>
              <w:rPr>
                <w:rFonts w:ascii="Book Antiqua" w:hAnsi="Book Antiqua"/>
                <w:b/>
                <w:bCs/>
                <w:szCs w:val="24"/>
                <w:lang w:val="en-US"/>
              </w:rPr>
            </w:pPr>
            <w:r w:rsidRPr="001944F8">
              <w:rPr>
                <w:rFonts w:ascii="Book Antiqua" w:hAnsi="Book Antiqua"/>
                <w:b/>
                <w:bCs/>
                <w:szCs w:val="24"/>
                <w:lang w:val="en-US"/>
              </w:rPr>
              <w:t>Change in Annual Mean Maximum Temperatures</w:t>
            </w:r>
          </w:p>
        </w:tc>
        <w:tc>
          <w:tcPr>
            <w:tcW w:w="1112" w:type="pct"/>
            <w:tcBorders>
              <w:top w:val="single" w:sz="8" w:space="0" w:color="4F81BD"/>
              <w:left w:val="nil"/>
              <w:bottom w:val="single" w:sz="8" w:space="0" w:color="4F81BD"/>
              <w:right w:val="nil"/>
            </w:tcBorders>
          </w:tcPr>
          <w:p w:rsidR="001944F8" w:rsidRPr="001944F8" w:rsidRDefault="001944F8" w:rsidP="00C54A23">
            <w:pPr>
              <w:spacing w:after="0" w:line="240" w:lineRule="auto"/>
              <w:rPr>
                <w:rFonts w:ascii="Book Antiqua" w:hAnsi="Book Antiqua"/>
                <w:b/>
                <w:bCs/>
                <w:szCs w:val="24"/>
                <w:lang w:val="en-US"/>
              </w:rPr>
            </w:pPr>
          </w:p>
        </w:tc>
        <w:tc>
          <w:tcPr>
            <w:tcW w:w="1112" w:type="pct"/>
            <w:tcBorders>
              <w:top w:val="single" w:sz="8" w:space="0" w:color="4F81BD"/>
              <w:left w:val="nil"/>
              <w:bottom w:val="single" w:sz="8" w:space="0" w:color="4F81BD"/>
              <w:right w:val="nil"/>
            </w:tcBorders>
          </w:tcPr>
          <w:p w:rsidR="001944F8" w:rsidRPr="001944F8" w:rsidRDefault="001944F8" w:rsidP="00C54A23">
            <w:pPr>
              <w:spacing w:after="0" w:line="240" w:lineRule="auto"/>
              <w:rPr>
                <w:rFonts w:ascii="Book Antiqua" w:hAnsi="Book Antiqua"/>
                <w:b/>
                <w:bCs/>
                <w:szCs w:val="24"/>
                <w:lang w:val="en-US"/>
              </w:rPr>
            </w:pPr>
            <w:r w:rsidRPr="001944F8">
              <w:rPr>
                <w:rFonts w:ascii="Book Antiqua" w:hAnsi="Book Antiqua"/>
                <w:b/>
                <w:bCs/>
                <w:szCs w:val="24"/>
                <w:lang w:val="en-US"/>
              </w:rPr>
              <w:t>t-statistics</w:t>
            </w:r>
          </w:p>
        </w:tc>
        <w:tc>
          <w:tcPr>
            <w:tcW w:w="1113" w:type="pct"/>
            <w:tcBorders>
              <w:top w:val="single" w:sz="8" w:space="0" w:color="4F81BD"/>
              <w:left w:val="nil"/>
              <w:bottom w:val="single" w:sz="8" w:space="0" w:color="4F81BD"/>
              <w:right w:val="nil"/>
            </w:tcBorders>
          </w:tcPr>
          <w:p w:rsidR="001944F8" w:rsidRPr="001944F8" w:rsidRDefault="001944F8" w:rsidP="00C54A23">
            <w:pPr>
              <w:spacing w:after="0" w:line="240" w:lineRule="auto"/>
              <w:rPr>
                <w:rFonts w:ascii="Book Antiqua" w:hAnsi="Book Antiqua"/>
                <w:b/>
                <w:bCs/>
                <w:szCs w:val="24"/>
                <w:lang w:val="en-US"/>
              </w:rPr>
            </w:pPr>
            <w:r w:rsidRPr="001944F8">
              <w:rPr>
                <w:rFonts w:ascii="Book Antiqua" w:hAnsi="Book Antiqua"/>
                <w:b/>
                <w:bCs/>
                <w:szCs w:val="24"/>
                <w:lang w:val="en-US"/>
              </w:rPr>
              <w:t>p-values</w:t>
            </w:r>
          </w:p>
        </w:tc>
      </w:tr>
      <w:tr w:rsidR="001944F8" w:rsidRPr="001944F8" w:rsidTr="00C54A23">
        <w:tc>
          <w:tcPr>
            <w:tcW w:w="1662" w:type="pct"/>
            <w:noWrap/>
          </w:tcPr>
          <w:p w:rsidR="001944F8" w:rsidRPr="001944F8" w:rsidRDefault="001944F8" w:rsidP="00C54A23">
            <w:pPr>
              <w:spacing w:after="0" w:line="240" w:lineRule="auto"/>
              <w:rPr>
                <w:rFonts w:ascii="Book Antiqua" w:hAnsi="Book Antiqua"/>
                <w:szCs w:val="24"/>
                <w:lang w:val="en-US"/>
              </w:rPr>
            </w:pPr>
          </w:p>
        </w:tc>
        <w:tc>
          <w:tcPr>
            <w:tcW w:w="1112" w:type="pct"/>
          </w:tcPr>
          <w:p w:rsidR="001944F8" w:rsidRPr="001944F8" w:rsidRDefault="001944F8" w:rsidP="00C54A23">
            <w:pPr>
              <w:spacing w:after="0" w:line="240" w:lineRule="auto"/>
              <w:rPr>
                <w:rStyle w:val="SubtleEmphasis"/>
                <w:rFonts w:ascii="Book Antiqua" w:eastAsiaTheme="minorHAnsi" w:hAnsi="Book Antiqua"/>
                <w:sz w:val="24"/>
                <w:szCs w:val="24"/>
              </w:rPr>
            </w:pPr>
          </w:p>
        </w:tc>
        <w:tc>
          <w:tcPr>
            <w:tcW w:w="1112" w:type="pct"/>
          </w:tcPr>
          <w:p w:rsidR="001944F8" w:rsidRPr="001944F8" w:rsidRDefault="001944F8" w:rsidP="00C54A23">
            <w:pPr>
              <w:spacing w:after="0" w:line="240" w:lineRule="auto"/>
              <w:rPr>
                <w:rFonts w:ascii="Book Antiqua" w:hAnsi="Book Antiqua"/>
                <w:szCs w:val="24"/>
                <w:lang w:val="en-US"/>
              </w:rPr>
            </w:pPr>
          </w:p>
        </w:tc>
        <w:tc>
          <w:tcPr>
            <w:tcW w:w="1113" w:type="pct"/>
          </w:tcPr>
          <w:p w:rsidR="001944F8" w:rsidRPr="001944F8" w:rsidRDefault="001944F8" w:rsidP="00C54A23">
            <w:pPr>
              <w:spacing w:after="0" w:line="240" w:lineRule="auto"/>
              <w:rPr>
                <w:rFonts w:ascii="Book Antiqua" w:hAnsi="Book Antiqua"/>
                <w:szCs w:val="24"/>
                <w:lang w:val="en-US"/>
              </w:rPr>
            </w:pPr>
          </w:p>
        </w:tc>
      </w:tr>
      <w:tr w:rsidR="001944F8" w:rsidRPr="001944F8" w:rsidTr="00C54A23">
        <w:tc>
          <w:tcPr>
            <w:tcW w:w="1662" w:type="pct"/>
            <w:noWrap/>
          </w:tcPr>
          <w:p w:rsidR="001944F8" w:rsidRPr="001944F8" w:rsidRDefault="001944F8" w:rsidP="00C54A23">
            <w:pPr>
              <w:spacing w:after="0" w:line="240" w:lineRule="auto"/>
              <w:rPr>
                <w:rFonts w:ascii="Book Antiqua" w:hAnsi="Book Antiqua"/>
                <w:szCs w:val="24"/>
                <w:lang w:val="en-US"/>
              </w:rPr>
            </w:pPr>
            <w:r w:rsidRPr="001944F8">
              <w:rPr>
                <w:rFonts w:ascii="Book Antiqua" w:hAnsi="Book Antiqua"/>
                <w:szCs w:val="24"/>
                <w:lang w:val="en-US"/>
              </w:rPr>
              <w:t>Constant</w:t>
            </w:r>
          </w:p>
        </w:tc>
        <w:tc>
          <w:tcPr>
            <w:tcW w:w="1112" w:type="pct"/>
          </w:tcPr>
          <w:p w:rsidR="001944F8" w:rsidRPr="001944F8" w:rsidRDefault="001944F8" w:rsidP="00C54A23">
            <w:pPr>
              <w:pStyle w:val="DecimalAligned"/>
              <w:spacing w:after="0" w:line="240" w:lineRule="auto"/>
              <w:rPr>
                <w:rFonts w:ascii="Book Antiqua" w:hAnsi="Book Antiqua"/>
                <w:sz w:val="24"/>
                <w:szCs w:val="24"/>
              </w:rPr>
            </w:pPr>
          </w:p>
        </w:tc>
        <w:tc>
          <w:tcPr>
            <w:tcW w:w="1112" w:type="pct"/>
          </w:tcPr>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-1.13</w:t>
            </w:r>
          </w:p>
        </w:tc>
        <w:tc>
          <w:tcPr>
            <w:tcW w:w="1113" w:type="pct"/>
          </w:tcPr>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0.264</w:t>
            </w:r>
          </w:p>
        </w:tc>
      </w:tr>
      <w:tr w:rsidR="001944F8" w:rsidRPr="001944F8" w:rsidTr="00C54A23">
        <w:tc>
          <w:tcPr>
            <w:tcW w:w="1662" w:type="pct"/>
            <w:noWrap/>
          </w:tcPr>
          <w:p w:rsidR="001944F8" w:rsidRPr="001944F8" w:rsidRDefault="001944F8" w:rsidP="00C54A23">
            <w:pPr>
              <w:spacing w:after="0" w:line="240" w:lineRule="auto"/>
              <w:rPr>
                <w:rFonts w:ascii="Book Antiqua" w:hAnsi="Book Antiqua"/>
                <w:szCs w:val="24"/>
                <w:lang w:val="en-US"/>
              </w:rPr>
            </w:pPr>
            <w:r w:rsidRPr="001944F8">
              <w:rPr>
                <w:rFonts w:ascii="Book Antiqua" w:hAnsi="Book Antiqua"/>
                <w:szCs w:val="24"/>
                <w:lang w:val="en-US"/>
              </w:rPr>
              <w:t>Change in [CO</w:t>
            </w:r>
            <w:r w:rsidRPr="001944F8">
              <w:rPr>
                <w:rFonts w:ascii="Book Antiqua" w:hAnsi="Book Antiqua"/>
                <w:szCs w:val="24"/>
                <w:vertAlign w:val="subscript"/>
                <w:lang w:val="en-US"/>
              </w:rPr>
              <w:t>2</w:t>
            </w:r>
            <w:r w:rsidRPr="001944F8">
              <w:rPr>
                <w:rFonts w:ascii="Book Antiqua" w:hAnsi="Book Antiqua"/>
                <w:szCs w:val="24"/>
                <w:lang w:val="en-US"/>
              </w:rPr>
              <w:t>]</w:t>
            </w:r>
          </w:p>
        </w:tc>
        <w:tc>
          <w:tcPr>
            <w:tcW w:w="1112" w:type="pct"/>
          </w:tcPr>
          <w:p w:rsidR="001944F8" w:rsidRPr="001944F8" w:rsidRDefault="001944F8" w:rsidP="00C54A23">
            <w:pPr>
              <w:pStyle w:val="DecimalAligned"/>
              <w:spacing w:after="0" w:line="240" w:lineRule="auto"/>
              <w:rPr>
                <w:rFonts w:ascii="Book Antiqua" w:hAnsi="Book Antiqua"/>
                <w:sz w:val="24"/>
                <w:szCs w:val="24"/>
              </w:rPr>
            </w:pPr>
          </w:p>
        </w:tc>
        <w:tc>
          <w:tcPr>
            <w:tcW w:w="1112" w:type="pct"/>
          </w:tcPr>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1.35</w:t>
            </w:r>
          </w:p>
        </w:tc>
        <w:tc>
          <w:tcPr>
            <w:tcW w:w="1113" w:type="pct"/>
          </w:tcPr>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0.186</w:t>
            </w:r>
          </w:p>
        </w:tc>
      </w:tr>
      <w:tr w:rsidR="001944F8" w:rsidRPr="001944F8" w:rsidTr="00C54A23">
        <w:tc>
          <w:tcPr>
            <w:tcW w:w="1662" w:type="pct"/>
            <w:noWrap/>
          </w:tcPr>
          <w:p w:rsidR="001944F8" w:rsidRPr="001944F8" w:rsidRDefault="001944F8" w:rsidP="00C54A23">
            <w:pPr>
              <w:spacing w:after="0" w:line="240" w:lineRule="auto"/>
              <w:rPr>
                <w:rFonts w:ascii="Book Antiqua" w:hAnsi="Book Antiqua"/>
                <w:szCs w:val="24"/>
                <w:lang w:val="en-US"/>
              </w:rPr>
            </w:pPr>
            <w:r w:rsidRPr="001944F8">
              <w:rPr>
                <w:rFonts w:ascii="Book Antiqua" w:hAnsi="Book Antiqua"/>
                <w:szCs w:val="24"/>
                <w:lang w:val="en-US"/>
              </w:rPr>
              <w:t>Change in [H</w:t>
            </w:r>
            <w:r w:rsidRPr="001944F8">
              <w:rPr>
                <w:rFonts w:ascii="Book Antiqua" w:hAnsi="Book Antiqua"/>
                <w:szCs w:val="24"/>
                <w:vertAlign w:val="subscript"/>
                <w:lang w:val="en-US"/>
              </w:rPr>
              <w:t>2</w:t>
            </w:r>
            <w:r w:rsidRPr="001944F8">
              <w:rPr>
                <w:rFonts w:ascii="Book Antiqua" w:hAnsi="Book Antiqua"/>
                <w:szCs w:val="24"/>
                <w:lang w:val="en-US"/>
              </w:rPr>
              <w:t>O]</w:t>
            </w:r>
          </w:p>
          <w:p w:rsidR="001944F8" w:rsidRPr="001944F8" w:rsidRDefault="001944F8" w:rsidP="00C54A23">
            <w:pPr>
              <w:spacing w:after="0" w:line="240" w:lineRule="auto"/>
              <w:rPr>
                <w:rFonts w:ascii="Book Antiqua" w:hAnsi="Book Antiqua"/>
                <w:szCs w:val="24"/>
                <w:lang w:val="en-US"/>
              </w:rPr>
            </w:pPr>
            <w:r w:rsidRPr="001944F8">
              <w:rPr>
                <w:rFonts w:ascii="Book Antiqua" w:hAnsi="Book Antiqua"/>
                <w:szCs w:val="24"/>
                <w:lang w:val="en-US"/>
              </w:rPr>
              <w:t xml:space="preserve">Change in </w:t>
            </w:r>
            <w:proofErr w:type="spellStart"/>
            <w:r w:rsidRPr="001944F8">
              <w:rPr>
                <w:rFonts w:ascii="Book Antiqua" w:hAnsi="Book Antiqua"/>
                <w:szCs w:val="24"/>
                <w:lang w:val="en-US"/>
              </w:rPr>
              <w:t>Avglo</w:t>
            </w:r>
            <w:proofErr w:type="spellEnd"/>
          </w:p>
          <w:p w:rsidR="001944F8" w:rsidRPr="001944F8" w:rsidRDefault="001944F8" w:rsidP="00C54A23">
            <w:pPr>
              <w:spacing w:after="0" w:line="240" w:lineRule="auto"/>
              <w:rPr>
                <w:rFonts w:ascii="Book Antiqua" w:hAnsi="Book Antiqua"/>
                <w:szCs w:val="24"/>
                <w:lang w:val="en-US"/>
              </w:rPr>
            </w:pPr>
          </w:p>
        </w:tc>
        <w:tc>
          <w:tcPr>
            <w:tcW w:w="1112" w:type="pct"/>
          </w:tcPr>
          <w:p w:rsidR="001944F8" w:rsidRPr="001944F8" w:rsidRDefault="001944F8" w:rsidP="00C54A23">
            <w:pPr>
              <w:pStyle w:val="DecimalAligned"/>
              <w:spacing w:after="0" w:line="240" w:lineRule="auto"/>
              <w:rPr>
                <w:rFonts w:ascii="Book Antiqua" w:hAnsi="Book Antiqua"/>
                <w:sz w:val="24"/>
                <w:szCs w:val="24"/>
              </w:rPr>
            </w:pPr>
          </w:p>
        </w:tc>
        <w:tc>
          <w:tcPr>
            <w:tcW w:w="1112" w:type="pct"/>
          </w:tcPr>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4.67</w:t>
            </w:r>
          </w:p>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3.72</w:t>
            </w:r>
          </w:p>
          <w:p w:rsidR="001944F8" w:rsidRPr="001944F8" w:rsidRDefault="001944F8" w:rsidP="00C54A23">
            <w:pPr>
              <w:pStyle w:val="DecimalAligned"/>
              <w:spacing w:after="0" w:line="240" w:lineRule="auto"/>
              <w:rPr>
                <w:rFonts w:ascii="Book Antiqua" w:hAnsi="Book Antiqua"/>
                <w:sz w:val="24"/>
                <w:szCs w:val="24"/>
              </w:rPr>
            </w:pPr>
          </w:p>
        </w:tc>
        <w:tc>
          <w:tcPr>
            <w:tcW w:w="1113" w:type="pct"/>
          </w:tcPr>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0.000</w:t>
            </w:r>
          </w:p>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0.000</w:t>
            </w:r>
          </w:p>
        </w:tc>
      </w:tr>
      <w:tr w:rsidR="001944F8" w:rsidRPr="001944F8" w:rsidTr="00C54A23">
        <w:tc>
          <w:tcPr>
            <w:tcW w:w="1662" w:type="pct"/>
            <w:noWrap/>
          </w:tcPr>
          <w:p w:rsidR="001944F8" w:rsidRPr="001944F8" w:rsidRDefault="001944F8" w:rsidP="00C54A23">
            <w:pPr>
              <w:spacing w:after="0" w:line="240" w:lineRule="auto"/>
              <w:rPr>
                <w:rFonts w:ascii="Book Antiqua" w:hAnsi="Book Antiqua"/>
                <w:szCs w:val="24"/>
                <w:lang w:val="en-US"/>
              </w:rPr>
            </w:pPr>
            <w:r w:rsidRPr="001944F8">
              <w:rPr>
                <w:rFonts w:ascii="Book Antiqua" w:hAnsi="Book Antiqua"/>
                <w:szCs w:val="24"/>
                <w:lang w:val="en-US"/>
              </w:rPr>
              <w:t>Standard Error</w:t>
            </w:r>
          </w:p>
          <w:p w:rsidR="001944F8" w:rsidRPr="001944F8" w:rsidRDefault="001944F8" w:rsidP="00C54A23">
            <w:pPr>
              <w:spacing w:after="0" w:line="240" w:lineRule="auto"/>
              <w:rPr>
                <w:rFonts w:ascii="Book Antiqua" w:hAnsi="Book Antiqua"/>
                <w:b/>
                <w:szCs w:val="24"/>
                <w:lang w:val="en-US"/>
              </w:rPr>
            </w:pPr>
            <w:r w:rsidRPr="001944F8">
              <w:rPr>
                <w:rFonts w:ascii="Book Antiqua" w:hAnsi="Book Antiqua"/>
                <w:szCs w:val="24"/>
                <w:lang w:val="en-US"/>
              </w:rPr>
              <w:t>Adjusted R</w:t>
            </w:r>
            <w:r w:rsidRPr="001944F8">
              <w:rPr>
                <w:rFonts w:ascii="Book Antiqua" w:hAnsi="Book Antiqua"/>
                <w:szCs w:val="24"/>
                <w:vertAlign w:val="superscript"/>
                <w:lang w:val="en-US"/>
              </w:rPr>
              <w:t>2</w:t>
            </w:r>
          </w:p>
        </w:tc>
        <w:tc>
          <w:tcPr>
            <w:tcW w:w="1112" w:type="pct"/>
          </w:tcPr>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0.565</w:t>
            </w:r>
          </w:p>
          <w:p w:rsidR="001944F8" w:rsidRPr="001944F8" w:rsidRDefault="001944F8" w:rsidP="00C54A23">
            <w:pPr>
              <w:pStyle w:val="DecimalAligned"/>
              <w:spacing w:after="0" w:line="240" w:lineRule="auto"/>
              <w:rPr>
                <w:rFonts w:ascii="Book Antiqua" w:hAnsi="Book Antiqua"/>
                <w:sz w:val="24"/>
                <w:szCs w:val="24"/>
              </w:rPr>
            </w:pPr>
            <w:r w:rsidRPr="001944F8">
              <w:rPr>
                <w:rFonts w:ascii="Book Antiqua" w:hAnsi="Book Antiqua"/>
                <w:sz w:val="24"/>
                <w:szCs w:val="24"/>
              </w:rPr>
              <w:t>0.356</w:t>
            </w:r>
          </w:p>
        </w:tc>
        <w:tc>
          <w:tcPr>
            <w:tcW w:w="1112" w:type="pct"/>
          </w:tcPr>
          <w:p w:rsidR="001944F8" w:rsidRPr="001944F8" w:rsidRDefault="001944F8" w:rsidP="00C54A23">
            <w:pPr>
              <w:pStyle w:val="DecimalAligned"/>
              <w:spacing w:after="0" w:line="240" w:lineRule="auto"/>
              <w:rPr>
                <w:rFonts w:ascii="Book Antiqua" w:hAnsi="Book Antiqua"/>
                <w:sz w:val="24"/>
                <w:szCs w:val="24"/>
              </w:rPr>
            </w:pPr>
          </w:p>
        </w:tc>
        <w:tc>
          <w:tcPr>
            <w:tcW w:w="1113" w:type="pct"/>
          </w:tcPr>
          <w:p w:rsidR="001944F8" w:rsidRPr="001944F8" w:rsidRDefault="001944F8" w:rsidP="00C54A23">
            <w:pPr>
              <w:pStyle w:val="DecimalAligned"/>
              <w:spacing w:after="0" w:line="240" w:lineRule="auto"/>
              <w:rPr>
                <w:rFonts w:ascii="Book Antiqua" w:hAnsi="Book Antiqua"/>
                <w:sz w:val="24"/>
                <w:szCs w:val="24"/>
              </w:rPr>
            </w:pPr>
          </w:p>
        </w:tc>
      </w:tr>
      <w:tr w:rsidR="001944F8" w:rsidRPr="001944F8" w:rsidTr="00C54A23">
        <w:tc>
          <w:tcPr>
            <w:tcW w:w="1662" w:type="pct"/>
            <w:tcBorders>
              <w:top w:val="single" w:sz="8" w:space="0" w:color="4F81BD"/>
              <w:left w:val="nil"/>
              <w:bottom w:val="single" w:sz="8" w:space="0" w:color="4F81BD"/>
              <w:right w:val="nil"/>
            </w:tcBorders>
            <w:noWrap/>
          </w:tcPr>
          <w:p w:rsidR="001944F8" w:rsidRPr="001944F8" w:rsidRDefault="001944F8" w:rsidP="00C54A23">
            <w:pPr>
              <w:spacing w:after="0" w:line="240" w:lineRule="auto"/>
              <w:rPr>
                <w:rFonts w:ascii="Book Antiqua" w:hAnsi="Book Antiqua"/>
                <w:b/>
                <w:bCs/>
                <w:szCs w:val="24"/>
                <w:lang w:val="en-US"/>
              </w:rPr>
            </w:pPr>
            <w:r w:rsidRPr="001944F8">
              <w:rPr>
                <w:rFonts w:ascii="Book Antiqua" w:hAnsi="Book Antiqua"/>
                <w:b/>
                <w:bCs/>
                <w:szCs w:val="24"/>
                <w:lang w:val="en-US"/>
              </w:rPr>
              <w:t>Durbin-Watson</w:t>
            </w:r>
          </w:p>
        </w:tc>
        <w:tc>
          <w:tcPr>
            <w:tcW w:w="1112" w:type="pct"/>
            <w:tcBorders>
              <w:top w:val="single" w:sz="8" w:space="0" w:color="4F81BD"/>
              <w:left w:val="nil"/>
              <w:bottom w:val="single" w:sz="8" w:space="0" w:color="4F81BD"/>
              <w:right w:val="nil"/>
            </w:tcBorders>
          </w:tcPr>
          <w:p w:rsidR="001944F8" w:rsidRPr="001944F8" w:rsidRDefault="001944F8" w:rsidP="00C54A23">
            <w:pPr>
              <w:pStyle w:val="DecimalAligned"/>
              <w:spacing w:after="0" w:line="240" w:lineRule="auto"/>
              <w:rPr>
                <w:rFonts w:ascii="Book Antiqua" w:hAnsi="Book Antiqua"/>
                <w:b/>
                <w:bCs/>
                <w:sz w:val="24"/>
                <w:szCs w:val="24"/>
              </w:rPr>
            </w:pPr>
            <w:r w:rsidRPr="001944F8">
              <w:rPr>
                <w:rFonts w:ascii="Book Antiqua" w:hAnsi="Book Antiqua"/>
                <w:b/>
                <w:bCs/>
                <w:sz w:val="24"/>
                <w:szCs w:val="24"/>
              </w:rPr>
              <w:t>2.834</w:t>
            </w:r>
          </w:p>
        </w:tc>
        <w:tc>
          <w:tcPr>
            <w:tcW w:w="1112" w:type="pct"/>
            <w:tcBorders>
              <w:top w:val="single" w:sz="8" w:space="0" w:color="4F81BD"/>
              <w:left w:val="nil"/>
              <w:bottom w:val="single" w:sz="8" w:space="0" w:color="4F81BD"/>
              <w:right w:val="nil"/>
            </w:tcBorders>
          </w:tcPr>
          <w:p w:rsidR="001944F8" w:rsidRPr="001944F8" w:rsidRDefault="001944F8" w:rsidP="00C54A23">
            <w:pPr>
              <w:pStyle w:val="DecimalAligned"/>
              <w:spacing w:after="0" w:line="240" w:lineRule="auto"/>
              <w:rPr>
                <w:rFonts w:ascii="Book Antiqua" w:hAnsi="Book Antiqua"/>
                <w:b/>
                <w:bCs/>
                <w:sz w:val="24"/>
                <w:szCs w:val="24"/>
              </w:rPr>
            </w:pPr>
          </w:p>
        </w:tc>
        <w:tc>
          <w:tcPr>
            <w:tcW w:w="1113" w:type="pct"/>
            <w:tcBorders>
              <w:top w:val="single" w:sz="8" w:space="0" w:color="4F81BD"/>
              <w:left w:val="nil"/>
              <w:bottom w:val="single" w:sz="8" w:space="0" w:color="4F81BD"/>
              <w:right w:val="nil"/>
            </w:tcBorders>
          </w:tcPr>
          <w:p w:rsidR="001944F8" w:rsidRPr="001944F8" w:rsidRDefault="001944F8" w:rsidP="00C54A23">
            <w:pPr>
              <w:pStyle w:val="DecimalAligned"/>
              <w:spacing w:after="0" w:line="240" w:lineRule="auto"/>
              <w:rPr>
                <w:rFonts w:ascii="Book Antiqua" w:hAnsi="Book Antiqua"/>
                <w:b/>
                <w:bCs/>
                <w:sz w:val="24"/>
                <w:szCs w:val="24"/>
              </w:rPr>
            </w:pPr>
          </w:p>
        </w:tc>
      </w:tr>
    </w:tbl>
    <w:p w:rsidR="001944F8" w:rsidRPr="001944F8" w:rsidRDefault="001944F8" w:rsidP="001944F8">
      <w:pPr>
        <w:rPr>
          <w:rFonts w:ascii="Book Antiqua" w:hAnsi="Book Antiqua"/>
          <w:b/>
          <w:szCs w:val="24"/>
          <w:lang w:val="en-GB"/>
        </w:rPr>
      </w:pPr>
      <w:r w:rsidRPr="001944F8">
        <w:rPr>
          <w:rFonts w:ascii="Book Antiqua" w:hAnsi="Book Antiqua"/>
          <w:szCs w:val="24"/>
        </w:rPr>
        <w:t xml:space="preserve">Sources: see Table </w:t>
      </w:r>
      <w:r>
        <w:rPr>
          <w:rFonts w:ascii="Book Antiqua" w:hAnsi="Book Antiqua"/>
          <w:szCs w:val="24"/>
        </w:rPr>
        <w:t>A2.2.1</w:t>
      </w:r>
    </w:p>
    <w:p w:rsidR="001944F8" w:rsidRPr="001944F8" w:rsidRDefault="001944F8" w:rsidP="001944F8">
      <w:pPr>
        <w:spacing w:line="240" w:lineRule="auto"/>
        <w:jc w:val="both"/>
        <w:rPr>
          <w:rFonts w:ascii="Book Antiqua" w:hAnsi="Book Antiqua"/>
          <w:szCs w:val="24"/>
        </w:rPr>
      </w:pPr>
      <w:r w:rsidRPr="001944F8">
        <w:rPr>
          <w:rFonts w:ascii="Book Antiqua" w:hAnsi="Book Antiqua"/>
          <w:b/>
          <w:szCs w:val="24"/>
          <w:lang w:val="en-GB"/>
        </w:rPr>
        <w:t xml:space="preserve">Note: </w:t>
      </w:r>
      <w:r w:rsidRPr="001944F8">
        <w:rPr>
          <w:rFonts w:ascii="Book Antiqua" w:hAnsi="Book Antiqua"/>
          <w:szCs w:val="24"/>
          <w:lang w:val="en-GB"/>
        </w:rPr>
        <w:t>Independent variables in Table 4: ΔCO</w:t>
      </w:r>
      <w:r w:rsidRPr="001944F8">
        <w:rPr>
          <w:rFonts w:ascii="Book Antiqua" w:hAnsi="Book Antiqua"/>
          <w:szCs w:val="24"/>
          <w:vertAlign w:val="subscript"/>
          <w:lang w:val="en-GB"/>
        </w:rPr>
        <w:t>2</w:t>
      </w:r>
      <w:r w:rsidRPr="001944F8">
        <w:rPr>
          <w:rFonts w:ascii="Book Antiqua" w:hAnsi="Book Antiqua"/>
          <w:szCs w:val="24"/>
          <w:lang w:val="en-GB"/>
        </w:rPr>
        <w:t xml:space="preserve"> = annual changes in atmospheric carbon dioxide at Mauna Loa Slope Observatory; </w:t>
      </w:r>
      <w:proofErr w:type="spellStart"/>
      <w:r w:rsidRPr="001944F8">
        <w:rPr>
          <w:rFonts w:ascii="Book Antiqua" w:hAnsi="Book Antiqua"/>
          <w:szCs w:val="24"/>
          <w:lang w:val="en-GB"/>
        </w:rPr>
        <w:t>ΔAvglo</w:t>
      </w:r>
      <w:proofErr w:type="spellEnd"/>
      <w:r w:rsidRPr="001944F8">
        <w:rPr>
          <w:rFonts w:ascii="Book Antiqua" w:hAnsi="Book Antiqua"/>
          <w:szCs w:val="24"/>
          <w:lang w:val="en-GB"/>
        </w:rPr>
        <w:t xml:space="preserve"> =change in annual a</w:t>
      </w:r>
      <w:proofErr w:type="spellStart"/>
      <w:r w:rsidRPr="001944F8">
        <w:rPr>
          <w:rFonts w:ascii="Book Antiqua" w:hAnsi="Book Antiqua"/>
          <w:szCs w:val="24"/>
          <w:lang w:eastAsia="en-AU"/>
        </w:rPr>
        <w:t>verage</w:t>
      </w:r>
      <w:proofErr w:type="spellEnd"/>
      <w:r w:rsidRPr="001944F8">
        <w:rPr>
          <w:rFonts w:ascii="Book Antiqua" w:hAnsi="Book Antiqua"/>
          <w:szCs w:val="24"/>
          <w:lang w:eastAsia="en-AU"/>
        </w:rPr>
        <w:t xml:space="preserve"> daily </w:t>
      </w:r>
      <w:r w:rsidRPr="001944F8">
        <w:rPr>
          <w:rFonts w:ascii="Book Antiqua" w:hAnsi="Book Antiqua"/>
          <w:i/>
          <w:szCs w:val="24"/>
          <w:lang w:eastAsia="en-AU"/>
        </w:rPr>
        <w:t>in situ</w:t>
      </w:r>
      <w:r w:rsidRPr="001944F8">
        <w:rPr>
          <w:rFonts w:ascii="Book Antiqua" w:hAnsi="Book Antiqua"/>
          <w:szCs w:val="24"/>
          <w:lang w:eastAsia="en-AU"/>
        </w:rPr>
        <w:t xml:space="preserve"> total solar radiation, i.e. sum of direct and diffuse radiation less albedo (Wh/m</w:t>
      </w:r>
      <w:r w:rsidRPr="001944F8">
        <w:rPr>
          <w:rFonts w:ascii="Book Antiqua" w:hAnsi="Book Antiqua"/>
          <w:szCs w:val="24"/>
          <w:vertAlign w:val="superscript"/>
          <w:lang w:eastAsia="en-AU"/>
        </w:rPr>
        <w:t>2</w:t>
      </w:r>
      <w:r w:rsidRPr="001944F8">
        <w:rPr>
          <w:rFonts w:ascii="Book Antiqua" w:hAnsi="Book Antiqua"/>
          <w:szCs w:val="24"/>
          <w:lang w:eastAsia="en-AU"/>
        </w:rPr>
        <w:t xml:space="preserve">);  </w:t>
      </w:r>
      <w:r w:rsidRPr="001944F8">
        <w:rPr>
          <w:rFonts w:ascii="Book Antiqua" w:hAnsi="Book Antiqua"/>
          <w:szCs w:val="24"/>
          <w:lang w:val="en-GB"/>
        </w:rPr>
        <w:t>ΔH</w:t>
      </w:r>
      <w:r w:rsidRPr="001944F8">
        <w:rPr>
          <w:rFonts w:ascii="Book Antiqua" w:hAnsi="Book Antiqua"/>
          <w:szCs w:val="24"/>
          <w:vertAlign w:val="subscript"/>
          <w:lang w:val="en-GB"/>
        </w:rPr>
        <w:t>2</w:t>
      </w:r>
      <w:r w:rsidRPr="001944F8">
        <w:rPr>
          <w:rFonts w:ascii="Book Antiqua" w:hAnsi="Book Antiqua"/>
          <w:szCs w:val="24"/>
          <w:lang w:val="en-GB"/>
        </w:rPr>
        <w:t>O = annual changes in precipitable water vapour (cm).</w:t>
      </w:r>
    </w:p>
    <w:p w:rsidR="0059647F" w:rsidRDefault="0059647F">
      <w:pPr>
        <w:rPr>
          <w:b/>
          <w:szCs w:val="24"/>
        </w:rPr>
      </w:pPr>
      <w:r>
        <w:rPr>
          <w:b/>
          <w:szCs w:val="24"/>
        </w:rPr>
        <w:br w:type="page"/>
      </w:r>
    </w:p>
    <w:p w:rsidR="00A35CBF" w:rsidRPr="00A35CBF" w:rsidRDefault="00A35CBF" w:rsidP="00A35CBF">
      <w:pPr>
        <w:jc w:val="both"/>
        <w:rPr>
          <w:szCs w:val="24"/>
        </w:rPr>
      </w:pPr>
      <w:r w:rsidRPr="00A35CBF">
        <w:rPr>
          <w:szCs w:val="24"/>
        </w:rPr>
        <w:lastRenderedPageBreak/>
        <w:t xml:space="preserve">Using data from Des Moines (Iowa) the regressions again confirm those above for </w:t>
      </w:r>
      <w:r>
        <w:rPr>
          <w:szCs w:val="24"/>
        </w:rPr>
        <w:t>B</w:t>
      </w:r>
      <w:r w:rsidRPr="00A35CBF">
        <w:rPr>
          <w:szCs w:val="24"/>
        </w:rPr>
        <w:t>arrow, Hilo, New York</w:t>
      </w:r>
      <w:r>
        <w:rPr>
          <w:szCs w:val="24"/>
        </w:rPr>
        <w:t>, see Table A2.2.3.</w:t>
      </w:r>
    </w:p>
    <w:p w:rsidR="004F5B48" w:rsidRDefault="004F5B48" w:rsidP="004F5B48">
      <w:pPr>
        <w:rPr>
          <w:b/>
          <w:szCs w:val="24"/>
        </w:rPr>
      </w:pPr>
      <w:r w:rsidRPr="004231C4">
        <w:rPr>
          <w:b/>
          <w:szCs w:val="24"/>
        </w:rPr>
        <w:t xml:space="preserve">Table </w:t>
      </w:r>
      <w:r w:rsidR="00640DBF">
        <w:rPr>
          <w:b/>
          <w:szCs w:val="24"/>
        </w:rPr>
        <w:t>A2</w:t>
      </w:r>
      <w:r>
        <w:rPr>
          <w:b/>
          <w:szCs w:val="24"/>
        </w:rPr>
        <w:t>.</w:t>
      </w:r>
      <w:r w:rsidR="00C54A23">
        <w:rPr>
          <w:b/>
          <w:szCs w:val="24"/>
        </w:rPr>
        <w:t>2.3</w:t>
      </w:r>
    </w:p>
    <w:p w:rsidR="00C54A23" w:rsidRDefault="00C54A23" w:rsidP="004F5B48">
      <w:pPr>
        <w:rPr>
          <w:b/>
          <w:szCs w:val="24"/>
        </w:rPr>
      </w:pPr>
      <w:r>
        <w:rPr>
          <w:b/>
          <w:szCs w:val="24"/>
        </w:rPr>
        <w:t>Some determinants of annual mean maximum temperature, Des Moines, Iowa 1960-2006</w:t>
      </w:r>
    </w:p>
    <w:tbl>
      <w:tblPr>
        <w:tblW w:w="7204" w:type="dxa"/>
        <w:tblInd w:w="108" w:type="dxa"/>
        <w:tblLook w:val="04A0"/>
      </w:tblPr>
      <w:tblGrid>
        <w:gridCol w:w="1982"/>
        <w:gridCol w:w="1363"/>
        <w:gridCol w:w="1736"/>
        <w:gridCol w:w="1116"/>
        <w:gridCol w:w="1116"/>
      </w:tblGrid>
      <w:tr w:rsidR="00C54A23" w:rsidRPr="00C54A23" w:rsidTr="00C54A23">
        <w:trPr>
          <w:trHeight w:val="315"/>
        </w:trPr>
        <w:tc>
          <w:tcPr>
            <w:tcW w:w="3236" w:type="dxa"/>
            <w:gridSpan w:val="2"/>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SUMMARY OUTPUT</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30"/>
        </w:trPr>
        <w:tc>
          <w:tcPr>
            <w:tcW w:w="6088" w:type="dxa"/>
            <w:gridSpan w:val="4"/>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Dependent variable: mean maximum temperature 1960-2006</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15"/>
        </w:trPr>
        <w:tc>
          <w:tcPr>
            <w:tcW w:w="3236" w:type="dxa"/>
            <w:gridSpan w:val="2"/>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Regression Statistics</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Multiple R</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0.524</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R Square</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0.274</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Adjusted R Square</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0.222</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Standard Error</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0.973</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30"/>
        </w:trPr>
        <w:tc>
          <w:tcPr>
            <w:tcW w:w="1982"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Observations</w:t>
            </w:r>
          </w:p>
        </w:tc>
        <w:tc>
          <w:tcPr>
            <w:tcW w:w="1254"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46</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30"/>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ANOVA</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15"/>
        </w:trPr>
        <w:tc>
          <w:tcPr>
            <w:tcW w:w="1982"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 </w:t>
            </w:r>
          </w:p>
        </w:tc>
        <w:tc>
          <w:tcPr>
            <w:tcW w:w="1254"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proofErr w:type="spellStart"/>
            <w:r w:rsidRPr="00C54A23">
              <w:rPr>
                <w:rFonts w:eastAsia="Times New Roman"/>
                <w:i/>
                <w:iCs/>
                <w:color w:val="000000"/>
                <w:szCs w:val="24"/>
                <w:lang w:eastAsia="en-AU"/>
              </w:rPr>
              <w:t>df</w:t>
            </w:r>
            <w:proofErr w:type="spellEnd"/>
          </w:p>
        </w:tc>
        <w:tc>
          <w:tcPr>
            <w:tcW w:w="1736"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SS</w:t>
            </w:r>
          </w:p>
        </w:tc>
        <w:tc>
          <w:tcPr>
            <w:tcW w:w="1116"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MS</w:t>
            </w:r>
          </w:p>
        </w:tc>
        <w:tc>
          <w:tcPr>
            <w:tcW w:w="1116"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F</w:t>
            </w: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Regression</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3</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15.014</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5.005</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5.291</w:t>
            </w: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Residual</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42</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39.729</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0.946</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30"/>
        </w:trPr>
        <w:tc>
          <w:tcPr>
            <w:tcW w:w="1982"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Total</w:t>
            </w:r>
          </w:p>
        </w:tc>
        <w:tc>
          <w:tcPr>
            <w:tcW w:w="1254"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45</w:t>
            </w:r>
          </w:p>
        </w:tc>
        <w:tc>
          <w:tcPr>
            <w:tcW w:w="1736"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54.743</w:t>
            </w:r>
          </w:p>
        </w:tc>
        <w:tc>
          <w:tcPr>
            <w:tcW w:w="1116"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 </w:t>
            </w:r>
          </w:p>
        </w:tc>
        <w:tc>
          <w:tcPr>
            <w:tcW w:w="1116"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 </w:t>
            </w:r>
          </w:p>
        </w:tc>
      </w:tr>
      <w:tr w:rsidR="00C54A23" w:rsidRPr="00C54A23" w:rsidTr="00C54A23">
        <w:trPr>
          <w:trHeight w:val="330"/>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p>
        </w:tc>
      </w:tr>
      <w:tr w:rsidR="00C54A23" w:rsidRPr="00C54A23" w:rsidTr="00C54A23">
        <w:trPr>
          <w:trHeight w:val="315"/>
        </w:trPr>
        <w:tc>
          <w:tcPr>
            <w:tcW w:w="1982"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 </w:t>
            </w:r>
          </w:p>
        </w:tc>
        <w:tc>
          <w:tcPr>
            <w:tcW w:w="1254"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Coefficients</w:t>
            </w:r>
          </w:p>
        </w:tc>
        <w:tc>
          <w:tcPr>
            <w:tcW w:w="1736"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Standard Error</w:t>
            </w:r>
          </w:p>
        </w:tc>
        <w:tc>
          <w:tcPr>
            <w:tcW w:w="1116"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t Stat</w:t>
            </w:r>
          </w:p>
        </w:tc>
        <w:tc>
          <w:tcPr>
            <w:tcW w:w="1116" w:type="dxa"/>
            <w:tcBorders>
              <w:top w:val="single" w:sz="8" w:space="0" w:color="auto"/>
              <w:left w:val="nil"/>
              <w:bottom w:val="single" w:sz="4" w:space="0" w:color="auto"/>
              <w:right w:val="nil"/>
            </w:tcBorders>
            <w:shd w:val="clear" w:color="auto" w:fill="auto"/>
            <w:noWrap/>
            <w:vAlign w:val="bottom"/>
            <w:hideMark/>
          </w:tcPr>
          <w:p w:rsidR="00C54A23" w:rsidRPr="00C54A23" w:rsidRDefault="00C54A23" w:rsidP="00C54A23">
            <w:pPr>
              <w:spacing w:after="0" w:line="240" w:lineRule="auto"/>
              <w:jc w:val="center"/>
              <w:rPr>
                <w:rFonts w:eastAsia="Times New Roman"/>
                <w:i/>
                <w:iCs/>
                <w:color w:val="000000"/>
                <w:szCs w:val="24"/>
                <w:lang w:eastAsia="en-AU"/>
              </w:rPr>
            </w:pPr>
            <w:r w:rsidRPr="00C54A23">
              <w:rPr>
                <w:rFonts w:eastAsia="Times New Roman"/>
                <w:i/>
                <w:iCs/>
                <w:color w:val="000000"/>
                <w:szCs w:val="24"/>
                <w:lang w:eastAsia="en-AU"/>
              </w:rPr>
              <w:t>P-value</w:t>
            </w: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Intercept</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-0.283</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0.383</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-0.739</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0.464</w:t>
            </w: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ΔAVGLO</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0.004</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0.001</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3.544</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0.001</w:t>
            </w:r>
          </w:p>
        </w:tc>
      </w:tr>
      <w:tr w:rsidR="00C54A23" w:rsidRPr="00C54A23" w:rsidTr="00C54A23">
        <w:trPr>
          <w:trHeight w:val="315"/>
        </w:trPr>
        <w:tc>
          <w:tcPr>
            <w:tcW w:w="1982"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ΔH2O</w:t>
            </w:r>
          </w:p>
        </w:tc>
        <w:tc>
          <w:tcPr>
            <w:tcW w:w="1254"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3.961</w:t>
            </w:r>
          </w:p>
        </w:tc>
        <w:tc>
          <w:tcPr>
            <w:tcW w:w="173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1.756</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2.257</w:t>
            </w:r>
          </w:p>
        </w:tc>
        <w:tc>
          <w:tcPr>
            <w:tcW w:w="1116" w:type="dxa"/>
            <w:tcBorders>
              <w:top w:val="nil"/>
              <w:left w:val="nil"/>
              <w:bottom w:val="nil"/>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0.029</w:t>
            </w:r>
          </w:p>
        </w:tc>
      </w:tr>
      <w:tr w:rsidR="00C54A23" w:rsidRPr="00C54A23" w:rsidTr="00C54A23">
        <w:trPr>
          <w:trHeight w:val="330"/>
        </w:trPr>
        <w:tc>
          <w:tcPr>
            <w:tcW w:w="1982"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rPr>
                <w:rFonts w:eastAsia="Times New Roman"/>
                <w:color w:val="000000"/>
                <w:szCs w:val="24"/>
                <w:lang w:eastAsia="en-AU"/>
              </w:rPr>
            </w:pPr>
            <w:r w:rsidRPr="00C54A23">
              <w:rPr>
                <w:rFonts w:eastAsia="Times New Roman"/>
                <w:color w:val="000000"/>
                <w:szCs w:val="24"/>
                <w:lang w:eastAsia="en-AU"/>
              </w:rPr>
              <w:t>ΔCO2</w:t>
            </w:r>
          </w:p>
        </w:tc>
        <w:tc>
          <w:tcPr>
            <w:tcW w:w="1254"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0.204</w:t>
            </w:r>
          </w:p>
        </w:tc>
        <w:tc>
          <w:tcPr>
            <w:tcW w:w="1736"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0.253</w:t>
            </w:r>
          </w:p>
        </w:tc>
        <w:tc>
          <w:tcPr>
            <w:tcW w:w="1116"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0.807</w:t>
            </w:r>
          </w:p>
        </w:tc>
        <w:tc>
          <w:tcPr>
            <w:tcW w:w="1116" w:type="dxa"/>
            <w:tcBorders>
              <w:top w:val="nil"/>
              <w:left w:val="nil"/>
              <w:bottom w:val="single" w:sz="8" w:space="0" w:color="auto"/>
              <w:right w:val="nil"/>
            </w:tcBorders>
            <w:shd w:val="clear" w:color="auto" w:fill="auto"/>
            <w:noWrap/>
            <w:vAlign w:val="bottom"/>
            <w:hideMark/>
          </w:tcPr>
          <w:p w:rsidR="00C54A23" w:rsidRPr="00C54A23" w:rsidRDefault="00C54A23" w:rsidP="00C54A23">
            <w:pPr>
              <w:spacing w:after="0" w:line="240" w:lineRule="auto"/>
              <w:jc w:val="right"/>
              <w:rPr>
                <w:rFonts w:eastAsia="Times New Roman"/>
                <w:color w:val="000000"/>
                <w:szCs w:val="24"/>
                <w:lang w:eastAsia="en-AU"/>
              </w:rPr>
            </w:pPr>
            <w:r w:rsidRPr="00C54A23">
              <w:rPr>
                <w:rFonts w:eastAsia="Times New Roman"/>
                <w:color w:val="000000"/>
                <w:szCs w:val="24"/>
                <w:lang w:eastAsia="en-AU"/>
              </w:rPr>
              <w:t>0.424</w:t>
            </w:r>
          </w:p>
        </w:tc>
      </w:tr>
    </w:tbl>
    <w:p w:rsidR="00C54A23" w:rsidRDefault="00A73797" w:rsidP="004F5B48">
      <w:pPr>
        <w:rPr>
          <w:szCs w:val="24"/>
        </w:rPr>
      </w:pPr>
      <w:r w:rsidRPr="00A73797">
        <w:rPr>
          <w:szCs w:val="24"/>
        </w:rPr>
        <w:t>Sources</w:t>
      </w:r>
      <w:r>
        <w:rPr>
          <w:szCs w:val="24"/>
        </w:rPr>
        <w:t>:</w:t>
      </w:r>
      <w:r w:rsidRPr="00A73797">
        <w:rPr>
          <w:szCs w:val="24"/>
        </w:rPr>
        <w:t xml:space="preserve"> Table A2.2.1</w:t>
      </w:r>
    </w:p>
    <w:p w:rsidR="00A73797" w:rsidRDefault="00A73797" w:rsidP="00A73797">
      <w:pPr>
        <w:jc w:val="both"/>
        <w:rPr>
          <w:szCs w:val="24"/>
        </w:rPr>
      </w:pPr>
      <w:r>
        <w:rPr>
          <w:szCs w:val="24"/>
        </w:rPr>
        <w:t>To end this section, here are the results of analysis of climate data from the Mauna Loa Slope Observatory (MLSO).  In Fig.A2.2.1 above I showed the previously unpublished trends in annual mean temperature and [CO</w:t>
      </w:r>
      <w:r w:rsidRPr="006778FC">
        <w:rPr>
          <w:szCs w:val="24"/>
          <w:vertAlign w:val="subscript"/>
        </w:rPr>
        <w:t>2</w:t>
      </w:r>
      <w:r>
        <w:rPr>
          <w:szCs w:val="24"/>
        </w:rPr>
        <w:t>] at Mauna Loa from 1977 to 2009. Clearly there is no good fit for the temperature trend (R</w:t>
      </w:r>
      <w:r w:rsidRPr="006778FC">
        <w:rPr>
          <w:szCs w:val="24"/>
          <w:vertAlign w:val="superscript"/>
        </w:rPr>
        <w:t>2</w:t>
      </w:r>
      <w:r>
        <w:rPr>
          <w:szCs w:val="24"/>
        </w:rPr>
        <w:t>= 0.088). It is therefore no surprise that regressing temperature change at MLSO against only its own measurements of changes in [CO</w:t>
      </w:r>
      <w:r w:rsidRPr="007240ED">
        <w:rPr>
          <w:szCs w:val="24"/>
          <w:vertAlign w:val="subscript"/>
        </w:rPr>
        <w:t>2</w:t>
      </w:r>
      <w:r>
        <w:rPr>
          <w:szCs w:val="24"/>
        </w:rPr>
        <w:t>] yields no correlation (adj.R</w:t>
      </w:r>
      <w:r w:rsidRPr="007240ED">
        <w:rPr>
          <w:szCs w:val="24"/>
          <w:vertAlign w:val="superscript"/>
        </w:rPr>
        <w:t>2</w:t>
      </w:r>
      <w:r>
        <w:rPr>
          <w:szCs w:val="24"/>
        </w:rPr>
        <w:t>=0.095), and the coefficient on changes in [CO</w:t>
      </w:r>
      <w:r w:rsidRPr="007240ED">
        <w:rPr>
          <w:szCs w:val="24"/>
          <w:vertAlign w:val="subscript"/>
        </w:rPr>
        <w:t>2</w:t>
      </w:r>
      <w:r>
        <w:rPr>
          <w:szCs w:val="24"/>
        </w:rPr>
        <w:t xml:space="preserve">] is only just statistically significant (0.46 &lt; 0.05) (see Table 7). But this regression leaves out all non-human variables so lends no support to the conclusions of the IPCC’s Solomon </w:t>
      </w:r>
      <w:r w:rsidRPr="00CB01C0">
        <w:rPr>
          <w:i/>
          <w:szCs w:val="24"/>
        </w:rPr>
        <w:t>et al.</w:t>
      </w:r>
      <w:r>
        <w:rPr>
          <w:szCs w:val="24"/>
        </w:rPr>
        <w:t xml:space="preserve"> (2007).Thus, when solar surface radiation at MLSO itself is included as an independent variable, the regression reported in Table </w:t>
      </w:r>
      <w:r w:rsidR="00D90D55">
        <w:rPr>
          <w:szCs w:val="24"/>
        </w:rPr>
        <w:t>A2.2.3</w:t>
      </w:r>
      <w:r>
        <w:rPr>
          <w:szCs w:val="24"/>
        </w:rPr>
        <w:t xml:space="preserve"> shows its much greater significance and power on changes in temperature relative to changes in [CO</w:t>
      </w:r>
      <w:r w:rsidRPr="00D90D55">
        <w:rPr>
          <w:szCs w:val="24"/>
          <w:vertAlign w:val="subscript"/>
        </w:rPr>
        <w:t>2</w:t>
      </w:r>
      <w:r>
        <w:rPr>
          <w:szCs w:val="24"/>
        </w:rPr>
        <w:t xml:space="preserve">] (on which the coefficient is </w:t>
      </w:r>
      <w:r w:rsidRPr="009A0E52">
        <w:rPr>
          <w:i/>
          <w:szCs w:val="24"/>
        </w:rPr>
        <w:t>negative</w:t>
      </w:r>
      <w:r>
        <w:rPr>
          <w:szCs w:val="24"/>
        </w:rPr>
        <w:t>).</w:t>
      </w:r>
    </w:p>
    <w:p w:rsidR="00C54A23" w:rsidRPr="004231C4" w:rsidRDefault="00C54A23" w:rsidP="004F5B48">
      <w:pPr>
        <w:rPr>
          <w:b/>
          <w:szCs w:val="24"/>
        </w:rPr>
      </w:pPr>
    </w:p>
    <w:p w:rsidR="004F5B48" w:rsidRPr="006C033F" w:rsidRDefault="00A73797" w:rsidP="004F5B48">
      <w:pPr>
        <w:spacing w:line="240" w:lineRule="auto"/>
        <w:rPr>
          <w:b/>
          <w:szCs w:val="24"/>
        </w:rPr>
      </w:pPr>
      <w:r>
        <w:rPr>
          <w:b/>
          <w:szCs w:val="24"/>
        </w:rPr>
        <w:lastRenderedPageBreak/>
        <w:t xml:space="preserve">Table A2.2.4 </w:t>
      </w:r>
      <w:proofErr w:type="gramStart"/>
      <w:r w:rsidR="004F5B48" w:rsidRPr="006C033F">
        <w:rPr>
          <w:b/>
          <w:szCs w:val="24"/>
        </w:rPr>
        <w:t>The</w:t>
      </w:r>
      <w:proofErr w:type="gramEnd"/>
      <w:r w:rsidR="004F5B48" w:rsidRPr="006C033F">
        <w:rPr>
          <w:b/>
          <w:szCs w:val="24"/>
        </w:rPr>
        <w:t xml:space="preserve"> Sun and [CO2] (</w:t>
      </w:r>
      <w:r w:rsidR="004F5B48">
        <w:rPr>
          <w:b/>
          <w:szCs w:val="24"/>
        </w:rPr>
        <w:t>first differences month-on-month</w:t>
      </w:r>
      <w:r w:rsidR="004F5B48" w:rsidRPr="006C033F">
        <w:rPr>
          <w:b/>
          <w:szCs w:val="24"/>
        </w:rPr>
        <w:t>) as determinants of changes in mean temperature</w:t>
      </w:r>
      <w:r w:rsidR="004F5B48">
        <w:rPr>
          <w:b/>
          <w:szCs w:val="24"/>
        </w:rPr>
        <w:t xml:space="preserve">: </w:t>
      </w:r>
      <w:r w:rsidR="004F5B48" w:rsidRPr="006C033F">
        <w:rPr>
          <w:b/>
          <w:szCs w:val="24"/>
        </w:rPr>
        <w:t xml:space="preserve">Mauna Loa 1977-2009 </w:t>
      </w:r>
    </w:p>
    <w:p w:rsidR="004F5B48" w:rsidRDefault="004F5B48" w:rsidP="004F5B48">
      <w:pPr>
        <w:spacing w:line="240" w:lineRule="auto"/>
        <w:jc w:val="center"/>
        <w:rPr>
          <w:szCs w:val="24"/>
        </w:rPr>
      </w:pPr>
      <w:r>
        <w:rPr>
          <w:noProof/>
          <w:szCs w:val="24"/>
          <w:lang w:val="en-US"/>
        </w:rPr>
        <w:drawing>
          <wp:inline distT="0" distB="0" distL="0" distR="0">
            <wp:extent cx="5734050" cy="914400"/>
            <wp:effectExtent l="1905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734050" cy="914400"/>
                    </a:xfrm>
                    <a:prstGeom prst="rect">
                      <a:avLst/>
                    </a:prstGeom>
                    <a:noFill/>
                    <a:ln w="9525">
                      <a:noFill/>
                      <a:miter lim="800000"/>
                      <a:headEnd/>
                      <a:tailEnd/>
                    </a:ln>
                  </pic:spPr>
                </pic:pic>
              </a:graphicData>
            </a:graphic>
          </wp:inline>
        </w:drawing>
      </w:r>
      <w:r w:rsidRPr="00BB021A">
        <w:rPr>
          <w:szCs w:val="24"/>
        </w:rPr>
        <w:t xml:space="preserve"> </w:t>
      </w:r>
    </w:p>
    <w:p w:rsidR="004F5B48" w:rsidRDefault="004F5B48" w:rsidP="004F5B48">
      <w:pPr>
        <w:spacing w:line="240" w:lineRule="auto"/>
        <w:jc w:val="center"/>
        <w:rPr>
          <w:szCs w:val="24"/>
        </w:rPr>
      </w:pPr>
      <w:r>
        <w:rPr>
          <w:noProof/>
          <w:szCs w:val="24"/>
          <w:lang w:val="en-US"/>
        </w:rPr>
        <w:drawing>
          <wp:inline distT="0" distB="0" distL="0" distR="0">
            <wp:extent cx="5724525" cy="1733550"/>
            <wp:effectExtent l="19050" t="0" r="9525"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5724525" cy="1733550"/>
                    </a:xfrm>
                    <a:prstGeom prst="rect">
                      <a:avLst/>
                    </a:prstGeom>
                    <a:noFill/>
                    <a:ln w="9525">
                      <a:noFill/>
                      <a:miter lim="800000"/>
                      <a:headEnd/>
                      <a:tailEnd/>
                    </a:ln>
                  </pic:spPr>
                </pic:pic>
              </a:graphicData>
            </a:graphic>
          </wp:inline>
        </w:drawing>
      </w:r>
      <w:r w:rsidRPr="00BB021A">
        <w:rPr>
          <w:szCs w:val="24"/>
        </w:rPr>
        <w:t xml:space="preserve"> </w:t>
      </w:r>
    </w:p>
    <w:p w:rsidR="004F5B48" w:rsidRDefault="004F5B48" w:rsidP="004F5B48">
      <w:pPr>
        <w:spacing w:line="240" w:lineRule="auto"/>
        <w:jc w:val="center"/>
        <w:rPr>
          <w:szCs w:val="24"/>
        </w:rPr>
      </w:pPr>
      <w:r>
        <w:rPr>
          <w:noProof/>
          <w:szCs w:val="24"/>
          <w:lang w:val="en-US"/>
        </w:rPr>
        <w:drawing>
          <wp:inline distT="0" distB="0" distL="0" distR="0">
            <wp:extent cx="5724525" cy="1047750"/>
            <wp:effectExtent l="19050" t="0" r="9525"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5724525" cy="1047750"/>
                    </a:xfrm>
                    <a:prstGeom prst="rect">
                      <a:avLst/>
                    </a:prstGeom>
                    <a:noFill/>
                    <a:ln w="9525">
                      <a:noFill/>
                      <a:miter lim="800000"/>
                      <a:headEnd/>
                      <a:tailEnd/>
                    </a:ln>
                  </pic:spPr>
                </pic:pic>
              </a:graphicData>
            </a:graphic>
          </wp:inline>
        </w:drawing>
      </w:r>
    </w:p>
    <w:p w:rsidR="004F5B48" w:rsidRDefault="004F5B48" w:rsidP="004F5B48">
      <w:pPr>
        <w:spacing w:line="240" w:lineRule="auto"/>
        <w:jc w:val="center"/>
        <w:rPr>
          <w:szCs w:val="24"/>
        </w:rPr>
      </w:pPr>
      <w:r>
        <w:rPr>
          <w:noProof/>
          <w:szCs w:val="24"/>
          <w:lang w:val="en-US"/>
        </w:rPr>
        <w:drawing>
          <wp:inline distT="0" distB="0" distL="0" distR="0">
            <wp:extent cx="5724525" cy="1733550"/>
            <wp:effectExtent l="19050" t="0" r="9525"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724525" cy="1733550"/>
                    </a:xfrm>
                    <a:prstGeom prst="rect">
                      <a:avLst/>
                    </a:prstGeom>
                    <a:noFill/>
                    <a:ln w="9525">
                      <a:noFill/>
                      <a:miter lim="800000"/>
                      <a:headEnd/>
                      <a:tailEnd/>
                    </a:ln>
                  </pic:spPr>
                </pic:pic>
              </a:graphicData>
            </a:graphic>
          </wp:inline>
        </w:drawing>
      </w:r>
    </w:p>
    <w:p w:rsidR="00A73797" w:rsidRDefault="00A73797" w:rsidP="00A73797">
      <w:pPr>
        <w:jc w:val="both"/>
      </w:pPr>
      <w:r>
        <w:rPr>
          <w:szCs w:val="24"/>
        </w:rPr>
        <w:t>Sources: [CO</w:t>
      </w:r>
      <w:r w:rsidRPr="0052209C">
        <w:rPr>
          <w:szCs w:val="24"/>
          <w:vertAlign w:val="subscript"/>
        </w:rPr>
        <w:t>2</w:t>
      </w:r>
      <w:r>
        <w:rPr>
          <w:szCs w:val="24"/>
        </w:rPr>
        <w:t xml:space="preserve">] – CDIAC; Temperatures: </w:t>
      </w:r>
      <w:hyperlink r:id="rId23" w:history="1">
        <w:r w:rsidRPr="00373BD6">
          <w:rPr>
            <w:rStyle w:val="Hyperlink"/>
            <w:lang w:val="en-GB"/>
          </w:rPr>
          <w:t>Thomas.Mefford@noaa.gov</w:t>
        </w:r>
      </w:hyperlink>
    </w:p>
    <w:p w:rsidR="004F5B48" w:rsidRDefault="004F5B48" w:rsidP="004F5B48">
      <w:pPr>
        <w:spacing w:line="240" w:lineRule="auto"/>
        <w:jc w:val="both"/>
        <w:rPr>
          <w:szCs w:val="24"/>
        </w:rPr>
      </w:pPr>
      <w:r w:rsidRPr="00BB021A">
        <w:rPr>
          <w:szCs w:val="24"/>
        </w:rPr>
        <w:t xml:space="preserve">Note. With only two </w:t>
      </w:r>
      <w:r>
        <w:rPr>
          <w:szCs w:val="24"/>
        </w:rPr>
        <w:t xml:space="preserve">independent </w:t>
      </w:r>
      <w:r w:rsidRPr="00BB021A">
        <w:rPr>
          <w:szCs w:val="24"/>
        </w:rPr>
        <w:t>variables, the adjusted R</w:t>
      </w:r>
      <w:r w:rsidRPr="009A0E52">
        <w:rPr>
          <w:szCs w:val="24"/>
          <w:vertAlign w:val="superscript"/>
        </w:rPr>
        <w:t>2</w:t>
      </w:r>
      <w:r w:rsidRPr="00BB021A">
        <w:rPr>
          <w:szCs w:val="24"/>
        </w:rPr>
        <w:t xml:space="preserve"> is</w:t>
      </w:r>
      <w:r>
        <w:rPr>
          <w:szCs w:val="24"/>
        </w:rPr>
        <w:t xml:space="preserve"> un</w:t>
      </w:r>
      <w:r w:rsidRPr="00BB021A">
        <w:rPr>
          <w:szCs w:val="24"/>
        </w:rPr>
        <w:t xml:space="preserve">surprisingly low, at 0.293, but this regression passes the Durbin-Watson and collinearity tests, and the coefficients on both independent variables are significant at better than 95 percent. The </w:t>
      </w:r>
      <w:r w:rsidRPr="00BB021A">
        <w:rPr>
          <w:i/>
          <w:szCs w:val="24"/>
        </w:rPr>
        <w:t xml:space="preserve">negative </w:t>
      </w:r>
      <w:r w:rsidRPr="00BB021A">
        <w:rPr>
          <w:szCs w:val="24"/>
        </w:rPr>
        <w:t xml:space="preserve">coefficient on </w:t>
      </w:r>
      <w:r>
        <w:rPr>
          <w:szCs w:val="24"/>
        </w:rPr>
        <w:t xml:space="preserve">the monthly </w:t>
      </w:r>
      <w:r w:rsidRPr="00BB021A">
        <w:rPr>
          <w:szCs w:val="24"/>
        </w:rPr>
        <w:t>changes in [CO</w:t>
      </w:r>
      <w:r w:rsidRPr="009A0E52">
        <w:rPr>
          <w:szCs w:val="24"/>
          <w:vertAlign w:val="subscript"/>
        </w:rPr>
        <w:t>2</w:t>
      </w:r>
      <w:r w:rsidRPr="00BB021A">
        <w:rPr>
          <w:szCs w:val="24"/>
        </w:rPr>
        <w:t xml:space="preserve">] </w:t>
      </w:r>
      <w:r>
        <w:rPr>
          <w:szCs w:val="24"/>
        </w:rPr>
        <w:t xml:space="preserve">here </w:t>
      </w:r>
      <w:r w:rsidRPr="00BB021A">
        <w:rPr>
          <w:szCs w:val="24"/>
        </w:rPr>
        <w:t>is to be expected, as there is the well</w:t>
      </w:r>
      <w:r>
        <w:rPr>
          <w:szCs w:val="24"/>
        </w:rPr>
        <w:t>-</w:t>
      </w:r>
      <w:r w:rsidRPr="00BB021A">
        <w:rPr>
          <w:szCs w:val="24"/>
        </w:rPr>
        <w:t>known intra-annual variability, whereby in the northern hemisphere’s summer, there is a pronounced drop in the concentration of [CO</w:t>
      </w:r>
      <w:r w:rsidRPr="004C0BAC">
        <w:rPr>
          <w:szCs w:val="24"/>
          <w:vertAlign w:val="subscript"/>
        </w:rPr>
        <w:t>2</w:t>
      </w:r>
      <w:r w:rsidRPr="00BB021A">
        <w:rPr>
          <w:szCs w:val="24"/>
        </w:rPr>
        <w:t>] because of the uptakes thereof by the biosphere</w:t>
      </w:r>
      <w:r>
        <w:rPr>
          <w:szCs w:val="24"/>
        </w:rPr>
        <w:t>.</w:t>
      </w:r>
    </w:p>
    <w:p w:rsidR="001944F8" w:rsidRPr="00BB021A" w:rsidRDefault="001944F8" w:rsidP="004F5B48">
      <w:pPr>
        <w:spacing w:line="240" w:lineRule="auto"/>
        <w:jc w:val="both"/>
        <w:rPr>
          <w:szCs w:val="24"/>
        </w:rPr>
      </w:pPr>
    </w:p>
    <w:p w:rsidR="001C345E" w:rsidRPr="001C345E" w:rsidRDefault="001C345E" w:rsidP="001C345E">
      <w:pPr>
        <w:spacing w:before="100" w:beforeAutospacing="1" w:after="408" w:line="240" w:lineRule="auto"/>
        <w:rPr>
          <w:rFonts w:ascii="Georgia" w:eastAsia="Times New Roman" w:hAnsi="Georgia"/>
          <w:color w:val="333333"/>
          <w:sz w:val="21"/>
          <w:szCs w:val="21"/>
          <w:lang w:eastAsia="en-AU"/>
        </w:rPr>
      </w:pPr>
      <w:r w:rsidRPr="001C345E">
        <w:rPr>
          <w:rFonts w:ascii="MS Mincho" w:eastAsia="MS Mincho" w:hAnsi="MS Mincho" w:cs="MS Mincho"/>
          <w:i/>
          <w:iCs/>
          <w:color w:val="333333"/>
          <w:sz w:val="21"/>
          <w:lang w:eastAsia="en-AU"/>
        </w:rPr>
        <w:t> </w:t>
      </w:r>
    </w:p>
    <w:sectPr w:rsidR="001C345E" w:rsidRPr="001C345E" w:rsidSect="00854B15">
      <w:foot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87B" w:rsidRDefault="00AB587B" w:rsidP="00280E59">
      <w:pPr>
        <w:spacing w:after="0" w:line="240" w:lineRule="auto"/>
      </w:pPr>
      <w:r>
        <w:separator/>
      </w:r>
    </w:p>
  </w:endnote>
  <w:endnote w:type="continuationSeparator" w:id="0">
    <w:p w:rsidR="00AB587B" w:rsidRDefault="00AB587B" w:rsidP="00280E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HDMC P+ Adv Times">
    <w:altName w:val="Adv Time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39266"/>
      <w:docPartObj>
        <w:docPartGallery w:val="Page Numbers (Bottom of Page)"/>
        <w:docPartUnique/>
      </w:docPartObj>
    </w:sdtPr>
    <w:sdtContent>
      <w:p w:rsidR="001125B7" w:rsidRDefault="00C17510">
        <w:pPr>
          <w:pStyle w:val="Footer"/>
          <w:jc w:val="right"/>
        </w:pPr>
        <w:fldSimple w:instr=" PAGE   \* MERGEFORMAT ">
          <w:r w:rsidR="00595E23">
            <w:rPr>
              <w:noProof/>
            </w:rPr>
            <w:t>7</w:t>
          </w:r>
        </w:fldSimple>
      </w:p>
    </w:sdtContent>
  </w:sdt>
  <w:p w:rsidR="00480D04" w:rsidRDefault="00480D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87B" w:rsidRDefault="00AB587B" w:rsidP="00280E59">
      <w:pPr>
        <w:spacing w:after="0" w:line="240" w:lineRule="auto"/>
      </w:pPr>
      <w:r>
        <w:separator/>
      </w:r>
    </w:p>
  </w:footnote>
  <w:footnote w:type="continuationSeparator" w:id="0">
    <w:p w:rsidR="00AB587B" w:rsidRDefault="00AB587B" w:rsidP="00280E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3013B"/>
    <w:multiLevelType w:val="multilevel"/>
    <w:tmpl w:val="DCDA1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064148"/>
    <w:multiLevelType w:val="multilevel"/>
    <w:tmpl w:val="562E75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AF0DEA"/>
    <w:multiLevelType w:val="hybridMultilevel"/>
    <w:tmpl w:val="AA12E946"/>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4B1D6E24"/>
    <w:multiLevelType w:val="multilevel"/>
    <w:tmpl w:val="4BF67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CE74161"/>
    <w:multiLevelType w:val="multilevel"/>
    <w:tmpl w:val="BCBE3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formsDesign/>
  <w:defaultTabStop w:val="720"/>
  <w:characterSpacingControl w:val="doNotCompress"/>
  <w:footnotePr>
    <w:footnote w:id="-1"/>
    <w:footnote w:id="0"/>
  </w:footnotePr>
  <w:endnotePr>
    <w:endnote w:id="-1"/>
    <w:endnote w:id="0"/>
  </w:endnotePr>
  <w:compat/>
  <w:rsids>
    <w:rsidRoot w:val="00E63E7F"/>
    <w:rsid w:val="0001265E"/>
    <w:rsid w:val="0002656A"/>
    <w:rsid w:val="0004045A"/>
    <w:rsid w:val="00043431"/>
    <w:rsid w:val="00044190"/>
    <w:rsid w:val="00044E0E"/>
    <w:rsid w:val="000678C4"/>
    <w:rsid w:val="000717B2"/>
    <w:rsid w:val="000844FA"/>
    <w:rsid w:val="000B6D0F"/>
    <w:rsid w:val="000B7E34"/>
    <w:rsid w:val="000D0070"/>
    <w:rsid w:val="000E4CC9"/>
    <w:rsid w:val="00106C4E"/>
    <w:rsid w:val="0011137A"/>
    <w:rsid w:val="001125B7"/>
    <w:rsid w:val="0011385A"/>
    <w:rsid w:val="00124F1E"/>
    <w:rsid w:val="001353EB"/>
    <w:rsid w:val="001372D0"/>
    <w:rsid w:val="0015366C"/>
    <w:rsid w:val="00155F62"/>
    <w:rsid w:val="00160278"/>
    <w:rsid w:val="00163FF6"/>
    <w:rsid w:val="00190E66"/>
    <w:rsid w:val="00191C91"/>
    <w:rsid w:val="001944F8"/>
    <w:rsid w:val="001A573F"/>
    <w:rsid w:val="001B0664"/>
    <w:rsid w:val="001C345E"/>
    <w:rsid w:val="001C666A"/>
    <w:rsid w:val="001D6D93"/>
    <w:rsid w:val="001E7AB0"/>
    <w:rsid w:val="001F5B4B"/>
    <w:rsid w:val="001F6C7B"/>
    <w:rsid w:val="00210208"/>
    <w:rsid w:val="0021083A"/>
    <w:rsid w:val="00226FD5"/>
    <w:rsid w:val="002337BE"/>
    <w:rsid w:val="00251D89"/>
    <w:rsid w:val="00280E59"/>
    <w:rsid w:val="00294104"/>
    <w:rsid w:val="00295CBC"/>
    <w:rsid w:val="002A298A"/>
    <w:rsid w:val="002B268C"/>
    <w:rsid w:val="002B2DDF"/>
    <w:rsid w:val="002B41E8"/>
    <w:rsid w:val="002D2CAD"/>
    <w:rsid w:val="002D3AE0"/>
    <w:rsid w:val="002D5A48"/>
    <w:rsid w:val="002E5955"/>
    <w:rsid w:val="002F4ECB"/>
    <w:rsid w:val="00311FD1"/>
    <w:rsid w:val="0032144F"/>
    <w:rsid w:val="0032276F"/>
    <w:rsid w:val="00334C23"/>
    <w:rsid w:val="00334EDD"/>
    <w:rsid w:val="00350BBD"/>
    <w:rsid w:val="003567A1"/>
    <w:rsid w:val="00372AEF"/>
    <w:rsid w:val="00377FEA"/>
    <w:rsid w:val="00383F67"/>
    <w:rsid w:val="0039102D"/>
    <w:rsid w:val="00396AAB"/>
    <w:rsid w:val="003970B4"/>
    <w:rsid w:val="003A24A7"/>
    <w:rsid w:val="003A4379"/>
    <w:rsid w:val="003B5DA3"/>
    <w:rsid w:val="003C0FF7"/>
    <w:rsid w:val="003C22E0"/>
    <w:rsid w:val="003E1264"/>
    <w:rsid w:val="00406A1A"/>
    <w:rsid w:val="00412671"/>
    <w:rsid w:val="00423C63"/>
    <w:rsid w:val="0042425F"/>
    <w:rsid w:val="00444C6C"/>
    <w:rsid w:val="0044750D"/>
    <w:rsid w:val="0046765A"/>
    <w:rsid w:val="00480D04"/>
    <w:rsid w:val="00487E4B"/>
    <w:rsid w:val="00496366"/>
    <w:rsid w:val="004A0E81"/>
    <w:rsid w:val="004A6ED0"/>
    <w:rsid w:val="004B2BB6"/>
    <w:rsid w:val="004B5175"/>
    <w:rsid w:val="004F5B48"/>
    <w:rsid w:val="0051060B"/>
    <w:rsid w:val="00512EB9"/>
    <w:rsid w:val="0051434D"/>
    <w:rsid w:val="005176BF"/>
    <w:rsid w:val="00527DC5"/>
    <w:rsid w:val="00543379"/>
    <w:rsid w:val="00543C59"/>
    <w:rsid w:val="00564CDE"/>
    <w:rsid w:val="00564F12"/>
    <w:rsid w:val="00573374"/>
    <w:rsid w:val="00577AEE"/>
    <w:rsid w:val="00595E23"/>
    <w:rsid w:val="0059647F"/>
    <w:rsid w:val="005C6339"/>
    <w:rsid w:val="0062670D"/>
    <w:rsid w:val="00634987"/>
    <w:rsid w:val="00635AD0"/>
    <w:rsid w:val="00640DBF"/>
    <w:rsid w:val="00663FF6"/>
    <w:rsid w:val="006641F3"/>
    <w:rsid w:val="0067141D"/>
    <w:rsid w:val="006918C2"/>
    <w:rsid w:val="0069472A"/>
    <w:rsid w:val="0069655E"/>
    <w:rsid w:val="006A3376"/>
    <w:rsid w:val="006B3C49"/>
    <w:rsid w:val="006B6690"/>
    <w:rsid w:val="006E5671"/>
    <w:rsid w:val="006F48C3"/>
    <w:rsid w:val="00706F94"/>
    <w:rsid w:val="00721EEE"/>
    <w:rsid w:val="00726D48"/>
    <w:rsid w:val="00727312"/>
    <w:rsid w:val="00731724"/>
    <w:rsid w:val="0074422E"/>
    <w:rsid w:val="007443D3"/>
    <w:rsid w:val="00747D86"/>
    <w:rsid w:val="00754FB1"/>
    <w:rsid w:val="00771BF9"/>
    <w:rsid w:val="0077501F"/>
    <w:rsid w:val="00777221"/>
    <w:rsid w:val="00780572"/>
    <w:rsid w:val="00781336"/>
    <w:rsid w:val="00782871"/>
    <w:rsid w:val="007928C3"/>
    <w:rsid w:val="007955AF"/>
    <w:rsid w:val="007C1993"/>
    <w:rsid w:val="007D71E8"/>
    <w:rsid w:val="007F095D"/>
    <w:rsid w:val="007F141C"/>
    <w:rsid w:val="007F4CDC"/>
    <w:rsid w:val="007F5802"/>
    <w:rsid w:val="00827A78"/>
    <w:rsid w:val="00827F08"/>
    <w:rsid w:val="00830765"/>
    <w:rsid w:val="00842805"/>
    <w:rsid w:val="00847605"/>
    <w:rsid w:val="00851B9D"/>
    <w:rsid w:val="00854B15"/>
    <w:rsid w:val="00855E34"/>
    <w:rsid w:val="00866BF6"/>
    <w:rsid w:val="00867A63"/>
    <w:rsid w:val="008712A9"/>
    <w:rsid w:val="008758FE"/>
    <w:rsid w:val="00881C6C"/>
    <w:rsid w:val="00886A35"/>
    <w:rsid w:val="008A48F5"/>
    <w:rsid w:val="008D1D2F"/>
    <w:rsid w:val="008F2926"/>
    <w:rsid w:val="00906391"/>
    <w:rsid w:val="009216F0"/>
    <w:rsid w:val="00926709"/>
    <w:rsid w:val="00940226"/>
    <w:rsid w:val="0094707F"/>
    <w:rsid w:val="00953391"/>
    <w:rsid w:val="00961CFD"/>
    <w:rsid w:val="00974214"/>
    <w:rsid w:val="00997218"/>
    <w:rsid w:val="009A1207"/>
    <w:rsid w:val="009B1C54"/>
    <w:rsid w:val="009D4FEE"/>
    <w:rsid w:val="00A05CEE"/>
    <w:rsid w:val="00A35CBF"/>
    <w:rsid w:val="00A43B30"/>
    <w:rsid w:val="00A530B6"/>
    <w:rsid w:val="00A73797"/>
    <w:rsid w:val="00A84BC7"/>
    <w:rsid w:val="00AA32B0"/>
    <w:rsid w:val="00AB0B26"/>
    <w:rsid w:val="00AB2937"/>
    <w:rsid w:val="00AB587B"/>
    <w:rsid w:val="00AC57FC"/>
    <w:rsid w:val="00AD23F0"/>
    <w:rsid w:val="00AD58A6"/>
    <w:rsid w:val="00AE76AA"/>
    <w:rsid w:val="00B10620"/>
    <w:rsid w:val="00B32859"/>
    <w:rsid w:val="00B34110"/>
    <w:rsid w:val="00B51F06"/>
    <w:rsid w:val="00B52066"/>
    <w:rsid w:val="00B52B7F"/>
    <w:rsid w:val="00B55AE4"/>
    <w:rsid w:val="00B609FA"/>
    <w:rsid w:val="00B67551"/>
    <w:rsid w:val="00B713B1"/>
    <w:rsid w:val="00B72416"/>
    <w:rsid w:val="00B74692"/>
    <w:rsid w:val="00B903ED"/>
    <w:rsid w:val="00B95439"/>
    <w:rsid w:val="00B95C6A"/>
    <w:rsid w:val="00BB4EC1"/>
    <w:rsid w:val="00BF1D20"/>
    <w:rsid w:val="00C11FAC"/>
    <w:rsid w:val="00C17510"/>
    <w:rsid w:val="00C22AA2"/>
    <w:rsid w:val="00C25FAA"/>
    <w:rsid w:val="00C47967"/>
    <w:rsid w:val="00C54A23"/>
    <w:rsid w:val="00C56159"/>
    <w:rsid w:val="00C72754"/>
    <w:rsid w:val="00C72DF7"/>
    <w:rsid w:val="00C83C2B"/>
    <w:rsid w:val="00C8751B"/>
    <w:rsid w:val="00C87C74"/>
    <w:rsid w:val="00CB5BB1"/>
    <w:rsid w:val="00CC19CD"/>
    <w:rsid w:val="00CC478E"/>
    <w:rsid w:val="00CC6508"/>
    <w:rsid w:val="00CE6F76"/>
    <w:rsid w:val="00CF17A5"/>
    <w:rsid w:val="00CF2020"/>
    <w:rsid w:val="00D02748"/>
    <w:rsid w:val="00D04F6D"/>
    <w:rsid w:val="00D0738B"/>
    <w:rsid w:val="00D16DD2"/>
    <w:rsid w:val="00D23F6F"/>
    <w:rsid w:val="00D420B4"/>
    <w:rsid w:val="00D467C1"/>
    <w:rsid w:val="00D52C00"/>
    <w:rsid w:val="00D63398"/>
    <w:rsid w:val="00D67238"/>
    <w:rsid w:val="00D90D55"/>
    <w:rsid w:val="00DA022C"/>
    <w:rsid w:val="00DC0E51"/>
    <w:rsid w:val="00DD2E1B"/>
    <w:rsid w:val="00DE54AD"/>
    <w:rsid w:val="00DF43FB"/>
    <w:rsid w:val="00DF57A3"/>
    <w:rsid w:val="00DF747C"/>
    <w:rsid w:val="00E074A8"/>
    <w:rsid w:val="00E26F3B"/>
    <w:rsid w:val="00E42ECC"/>
    <w:rsid w:val="00E63E7F"/>
    <w:rsid w:val="00E82BA7"/>
    <w:rsid w:val="00E87C50"/>
    <w:rsid w:val="00EA72E9"/>
    <w:rsid w:val="00ED3931"/>
    <w:rsid w:val="00ED55AA"/>
    <w:rsid w:val="00F1701F"/>
    <w:rsid w:val="00F46FB8"/>
    <w:rsid w:val="00F57606"/>
    <w:rsid w:val="00F623B3"/>
    <w:rsid w:val="00F63805"/>
    <w:rsid w:val="00F6748B"/>
    <w:rsid w:val="00F72365"/>
    <w:rsid w:val="00F8780F"/>
    <w:rsid w:val="00F97E42"/>
    <w:rsid w:val="00FA39D1"/>
    <w:rsid w:val="00FB0EA6"/>
    <w:rsid w:val="00FC1F01"/>
    <w:rsid w:val="00FD439A"/>
    <w:rsid w:val="00FE2714"/>
    <w:rsid w:val="00FF067D"/>
    <w:rsid w:val="00FF1536"/>
  </w:rsids>
  <m:mathPr>
    <m:mathFont m:val="Cambria Math"/>
    <m:brkBin m:val="before"/>
    <m:brkBinSub m:val="--"/>
    <m:smallFrac m:val="off"/>
    <m:dispDef/>
    <m:lMargin m:val="0"/>
    <m:rMargin m:val="0"/>
    <m:defJc m:val="centerGroup"/>
    <m:wrapIndent m:val="1440"/>
    <m:intLim m:val="subSup"/>
    <m:naryLim m:val="undOvr"/>
  </m:mathPr>
  <w:attachedSchema w:val="http://schemas.microsoft.com/office"/>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B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A6ED0"/>
    <w:pPr>
      <w:spacing w:before="100" w:beforeAutospacing="1" w:after="100" w:afterAutospacing="1" w:line="240" w:lineRule="auto"/>
    </w:pPr>
    <w:rPr>
      <w:rFonts w:eastAsia="Times New Roman"/>
      <w:szCs w:val="24"/>
      <w:lang w:eastAsia="en-AU"/>
    </w:rPr>
  </w:style>
  <w:style w:type="paragraph" w:styleId="BodyText3">
    <w:name w:val="Body Text 3"/>
    <w:basedOn w:val="Normal"/>
    <w:link w:val="BodyText3Char"/>
    <w:uiPriority w:val="99"/>
    <w:semiHidden/>
    <w:rsid w:val="00280E59"/>
    <w:pPr>
      <w:autoSpaceDE w:val="0"/>
      <w:autoSpaceDN w:val="0"/>
      <w:adjustRightInd w:val="0"/>
      <w:spacing w:after="0" w:line="240" w:lineRule="auto"/>
      <w:jc w:val="both"/>
    </w:pPr>
    <w:rPr>
      <w:rFonts w:eastAsia="Times New Roman"/>
      <w:sz w:val="22"/>
      <w:szCs w:val="16"/>
    </w:rPr>
  </w:style>
  <w:style w:type="character" w:customStyle="1" w:styleId="BodyText3Char">
    <w:name w:val="Body Text 3 Char"/>
    <w:basedOn w:val="DefaultParagraphFont"/>
    <w:link w:val="BodyText3"/>
    <w:uiPriority w:val="99"/>
    <w:semiHidden/>
    <w:rsid w:val="00280E59"/>
    <w:rPr>
      <w:rFonts w:eastAsia="Times New Roman"/>
      <w:sz w:val="22"/>
      <w:szCs w:val="16"/>
    </w:rPr>
  </w:style>
  <w:style w:type="paragraph" w:styleId="FootnoteText">
    <w:name w:val="footnote text"/>
    <w:basedOn w:val="Normal"/>
    <w:link w:val="FootnoteTextChar"/>
    <w:uiPriority w:val="99"/>
    <w:unhideWhenUsed/>
    <w:rsid w:val="00280E59"/>
    <w:rPr>
      <w:rFonts w:eastAsia="Times New Roman"/>
      <w:sz w:val="20"/>
      <w:szCs w:val="20"/>
    </w:rPr>
  </w:style>
  <w:style w:type="character" w:customStyle="1" w:styleId="FootnoteTextChar">
    <w:name w:val="Footnote Text Char"/>
    <w:basedOn w:val="DefaultParagraphFont"/>
    <w:link w:val="FootnoteText"/>
    <w:uiPriority w:val="99"/>
    <w:rsid w:val="00280E59"/>
    <w:rPr>
      <w:rFonts w:eastAsia="Times New Roman"/>
      <w:sz w:val="20"/>
      <w:szCs w:val="20"/>
    </w:rPr>
  </w:style>
  <w:style w:type="character" w:styleId="FootnoteReference">
    <w:name w:val="footnote reference"/>
    <w:basedOn w:val="DefaultParagraphFont"/>
    <w:uiPriority w:val="99"/>
    <w:semiHidden/>
    <w:unhideWhenUsed/>
    <w:rsid w:val="00280E59"/>
    <w:rPr>
      <w:rFonts w:cs="Times New Roman"/>
      <w:vertAlign w:val="superscript"/>
    </w:rPr>
  </w:style>
  <w:style w:type="character" w:styleId="Hyperlink">
    <w:name w:val="Hyperlink"/>
    <w:basedOn w:val="DefaultParagraphFont"/>
    <w:uiPriority w:val="99"/>
    <w:rsid w:val="00BB4EC1"/>
    <w:rPr>
      <w:rFonts w:cs="Times New Roman"/>
      <w:color w:val="0000FF"/>
      <w:u w:val="none"/>
      <w:effect w:val="none"/>
    </w:rPr>
  </w:style>
  <w:style w:type="paragraph" w:styleId="PlainText">
    <w:name w:val="Plain Text"/>
    <w:basedOn w:val="Normal"/>
    <w:link w:val="PlainTextChar"/>
    <w:uiPriority w:val="99"/>
    <w:unhideWhenUsed/>
    <w:rsid w:val="00827F08"/>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827F08"/>
    <w:rPr>
      <w:rFonts w:ascii="Consolas" w:eastAsia="Calibri" w:hAnsi="Consolas"/>
      <w:sz w:val="21"/>
      <w:szCs w:val="21"/>
    </w:rPr>
  </w:style>
  <w:style w:type="paragraph" w:styleId="BalloonText">
    <w:name w:val="Balloon Text"/>
    <w:basedOn w:val="Normal"/>
    <w:link w:val="BalloonTextChar"/>
    <w:uiPriority w:val="99"/>
    <w:semiHidden/>
    <w:unhideWhenUsed/>
    <w:rsid w:val="00827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F08"/>
    <w:rPr>
      <w:rFonts w:ascii="Tahoma" w:hAnsi="Tahoma" w:cs="Tahoma"/>
      <w:sz w:val="16"/>
      <w:szCs w:val="16"/>
    </w:rPr>
  </w:style>
  <w:style w:type="character" w:customStyle="1" w:styleId="ital">
    <w:name w:val="ital"/>
    <w:basedOn w:val="DefaultParagraphFont"/>
    <w:rsid w:val="00155F62"/>
    <w:rPr>
      <w:rFonts w:cs="Times New Roman"/>
    </w:rPr>
  </w:style>
  <w:style w:type="paragraph" w:customStyle="1" w:styleId="Default">
    <w:name w:val="Default"/>
    <w:rsid w:val="00155F62"/>
    <w:pPr>
      <w:autoSpaceDE w:val="0"/>
      <w:autoSpaceDN w:val="0"/>
      <w:adjustRightInd w:val="0"/>
      <w:spacing w:after="0" w:line="240" w:lineRule="auto"/>
    </w:pPr>
    <w:rPr>
      <w:rFonts w:eastAsia="Times New Roman"/>
      <w:color w:val="000000"/>
      <w:szCs w:val="24"/>
      <w:lang w:eastAsia="en-AU"/>
    </w:rPr>
  </w:style>
  <w:style w:type="character" w:customStyle="1" w:styleId="texhtml1">
    <w:name w:val="texhtml1"/>
    <w:basedOn w:val="DefaultParagraphFont"/>
    <w:rsid w:val="00155F62"/>
    <w:rPr>
      <w:rFonts w:cs="Times New Roman"/>
      <w:sz w:val="30"/>
      <w:szCs w:val="30"/>
    </w:rPr>
  </w:style>
  <w:style w:type="paragraph" w:customStyle="1" w:styleId="CM1">
    <w:name w:val="CM1"/>
    <w:basedOn w:val="Default"/>
    <w:next w:val="Default"/>
    <w:uiPriority w:val="99"/>
    <w:rsid w:val="00155F62"/>
    <w:pPr>
      <w:widowControl w:val="0"/>
    </w:pPr>
    <w:rPr>
      <w:rFonts w:ascii="MHDMC P+ Adv Times" w:hAnsi="MHDMC P+ Adv Times"/>
      <w:color w:val="auto"/>
    </w:rPr>
  </w:style>
  <w:style w:type="character" w:styleId="Emphasis">
    <w:name w:val="Emphasis"/>
    <w:basedOn w:val="DefaultParagraphFont"/>
    <w:uiPriority w:val="20"/>
    <w:qFormat/>
    <w:rsid w:val="001C345E"/>
    <w:rPr>
      <w:i/>
      <w:iCs/>
    </w:rPr>
  </w:style>
  <w:style w:type="character" w:styleId="HTMLCite">
    <w:name w:val="HTML Cite"/>
    <w:basedOn w:val="DefaultParagraphFont"/>
    <w:uiPriority w:val="99"/>
    <w:semiHidden/>
    <w:unhideWhenUsed/>
    <w:rsid w:val="001C345E"/>
    <w:rPr>
      <w:i/>
      <w:iCs/>
    </w:rPr>
  </w:style>
  <w:style w:type="character" w:customStyle="1" w:styleId="comment-meta2">
    <w:name w:val="comment-meta2"/>
    <w:basedOn w:val="DefaultParagraphFont"/>
    <w:rsid w:val="001C345E"/>
    <w:rPr>
      <w:rFonts w:ascii="Arial" w:hAnsi="Arial" w:cs="Arial" w:hint="default"/>
      <w:color w:val="888888"/>
      <w:sz w:val="18"/>
      <w:szCs w:val="18"/>
    </w:rPr>
  </w:style>
  <w:style w:type="character" w:styleId="Strong">
    <w:name w:val="Strong"/>
    <w:basedOn w:val="DefaultParagraphFont"/>
    <w:uiPriority w:val="22"/>
    <w:qFormat/>
    <w:rsid w:val="002E5955"/>
    <w:rPr>
      <w:b/>
      <w:bCs/>
    </w:rPr>
  </w:style>
  <w:style w:type="paragraph" w:styleId="ListParagraph">
    <w:name w:val="List Paragraph"/>
    <w:basedOn w:val="Normal"/>
    <w:uiPriority w:val="34"/>
    <w:qFormat/>
    <w:rsid w:val="00E26F3B"/>
    <w:pPr>
      <w:ind w:left="720"/>
      <w:contextualSpacing/>
    </w:pPr>
  </w:style>
  <w:style w:type="paragraph" w:styleId="EndnoteText">
    <w:name w:val="endnote text"/>
    <w:basedOn w:val="Normal"/>
    <w:link w:val="EndnoteTextChar"/>
    <w:uiPriority w:val="99"/>
    <w:semiHidden/>
    <w:unhideWhenUsed/>
    <w:rsid w:val="00A43B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3B30"/>
    <w:rPr>
      <w:sz w:val="20"/>
      <w:szCs w:val="20"/>
    </w:rPr>
  </w:style>
  <w:style w:type="character" w:styleId="EndnoteReference">
    <w:name w:val="endnote reference"/>
    <w:basedOn w:val="DefaultParagraphFont"/>
    <w:uiPriority w:val="99"/>
    <w:semiHidden/>
    <w:unhideWhenUsed/>
    <w:rsid w:val="00A43B30"/>
    <w:rPr>
      <w:vertAlign w:val="superscript"/>
    </w:rPr>
  </w:style>
  <w:style w:type="paragraph" w:styleId="Header">
    <w:name w:val="header"/>
    <w:basedOn w:val="Normal"/>
    <w:link w:val="HeaderChar"/>
    <w:uiPriority w:val="99"/>
    <w:semiHidden/>
    <w:unhideWhenUsed/>
    <w:rsid w:val="00B7241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72416"/>
  </w:style>
  <w:style w:type="paragraph" w:styleId="Footer">
    <w:name w:val="footer"/>
    <w:basedOn w:val="Normal"/>
    <w:link w:val="FooterChar"/>
    <w:uiPriority w:val="99"/>
    <w:unhideWhenUsed/>
    <w:rsid w:val="00B724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416"/>
  </w:style>
  <w:style w:type="paragraph" w:customStyle="1" w:styleId="DecimalAligned">
    <w:name w:val="Decimal Aligned"/>
    <w:basedOn w:val="Normal"/>
    <w:uiPriority w:val="40"/>
    <w:qFormat/>
    <w:rsid w:val="00721EEE"/>
    <w:pPr>
      <w:tabs>
        <w:tab w:val="decimal" w:pos="360"/>
      </w:tabs>
    </w:pPr>
    <w:rPr>
      <w:rFonts w:ascii="Calibri" w:eastAsia="Times New Roman" w:hAnsi="Calibri"/>
      <w:sz w:val="22"/>
      <w:lang w:val="en-US"/>
    </w:rPr>
  </w:style>
  <w:style w:type="character" w:styleId="SubtleEmphasis">
    <w:name w:val="Subtle Emphasis"/>
    <w:basedOn w:val="DefaultParagraphFont"/>
    <w:uiPriority w:val="19"/>
    <w:qFormat/>
    <w:rsid w:val="00721EEE"/>
    <w:rPr>
      <w:rFonts w:eastAsia="Times New Roman" w:cs="Times New Roman"/>
      <w:i/>
      <w:iCs/>
      <w:color w:val="808080"/>
      <w:sz w:val="22"/>
      <w:szCs w:val="22"/>
      <w:lang w:val="en-US"/>
    </w:rPr>
  </w:style>
  <w:style w:type="character" w:customStyle="1" w:styleId="citation">
    <w:name w:val="citation"/>
    <w:basedOn w:val="DefaultParagraphFont"/>
    <w:rsid w:val="00DF747C"/>
  </w:style>
  <w:style w:type="character" w:customStyle="1" w:styleId="googqs-tidbit1">
    <w:name w:val="goog_qs-tidbit1"/>
    <w:basedOn w:val="DefaultParagraphFont"/>
    <w:rsid w:val="00DF747C"/>
    <w:rPr>
      <w:vanish w:val="0"/>
      <w:webHidden w:val="0"/>
      <w:specVanish w:val="0"/>
    </w:rPr>
  </w:style>
  <w:style w:type="character" w:customStyle="1" w:styleId="cit-auth2">
    <w:name w:val="cit-auth2"/>
    <w:basedOn w:val="DefaultParagraphFont"/>
    <w:rsid w:val="00527DC5"/>
  </w:style>
  <w:style w:type="character" w:customStyle="1" w:styleId="cit-sep3">
    <w:name w:val="cit-sep3"/>
    <w:basedOn w:val="DefaultParagraphFont"/>
    <w:rsid w:val="00527DC5"/>
  </w:style>
  <w:style w:type="character" w:customStyle="1" w:styleId="cit-title3">
    <w:name w:val="cit-title3"/>
    <w:basedOn w:val="DefaultParagraphFont"/>
    <w:rsid w:val="00527DC5"/>
  </w:style>
  <w:style w:type="character" w:customStyle="1" w:styleId="cit-print-date">
    <w:name w:val="cit-print-date"/>
    <w:basedOn w:val="DefaultParagraphFont"/>
    <w:rsid w:val="00527DC5"/>
  </w:style>
  <w:style w:type="character" w:customStyle="1" w:styleId="cit-vol">
    <w:name w:val="cit-vol"/>
    <w:basedOn w:val="DefaultParagraphFont"/>
    <w:rsid w:val="00527DC5"/>
  </w:style>
  <w:style w:type="character" w:customStyle="1" w:styleId="cit-issue">
    <w:name w:val="cit-issue"/>
    <w:basedOn w:val="DefaultParagraphFont"/>
    <w:rsid w:val="00527DC5"/>
  </w:style>
  <w:style w:type="character" w:customStyle="1" w:styleId="cit-page-range">
    <w:name w:val="cit-page-range"/>
    <w:basedOn w:val="DefaultParagraphFont"/>
    <w:rsid w:val="00527DC5"/>
  </w:style>
  <w:style w:type="character" w:customStyle="1" w:styleId="cit-ahead-of-print-date">
    <w:name w:val="cit-ahead-of-print-date"/>
    <w:basedOn w:val="DefaultParagraphFont"/>
    <w:rsid w:val="00527DC5"/>
  </w:style>
  <w:style w:type="character" w:customStyle="1" w:styleId="cit-doi2">
    <w:name w:val="cit-doi2"/>
    <w:basedOn w:val="DefaultParagraphFont"/>
    <w:rsid w:val="00527DC5"/>
  </w:style>
  <w:style w:type="paragraph" w:customStyle="1" w:styleId="HindawiStyleHead1">
    <w:name w:val="HindawiStyleHead1"/>
    <w:basedOn w:val="Normal"/>
    <w:link w:val="HindawiStyleHead1Char"/>
    <w:rsid w:val="00595E23"/>
    <w:rPr>
      <w:rFonts w:asciiTheme="majorHAnsi" w:hAnsiTheme="majorHAnsi"/>
      <w:color w:val="3366FF"/>
      <w:sz w:val="34"/>
      <w:szCs w:val="28"/>
      <w:lang w:val="en-GB"/>
    </w:rPr>
  </w:style>
  <w:style w:type="character" w:customStyle="1" w:styleId="HindawiStyleHead1Char">
    <w:name w:val="HindawiStyleHead1 Char"/>
    <w:basedOn w:val="DefaultParagraphFont"/>
    <w:link w:val="HindawiStyleHead1"/>
    <w:rsid w:val="00595E23"/>
    <w:rPr>
      <w:rFonts w:asciiTheme="majorHAnsi" w:hAnsiTheme="majorHAnsi"/>
      <w:color w:val="3366FF"/>
      <w:sz w:val="34"/>
      <w:szCs w:val="28"/>
      <w:lang w:val="en-GB"/>
    </w:rPr>
  </w:style>
  <w:style w:type="paragraph" w:customStyle="1" w:styleId="HindawiStyleHead2">
    <w:name w:val="HindawiStyleHead2"/>
    <w:basedOn w:val="Normal"/>
    <w:link w:val="HindawiStyleHead2Char"/>
    <w:rsid w:val="00595E23"/>
    <w:rPr>
      <w:rFonts w:asciiTheme="minorHAnsi" w:hAnsiTheme="minorHAnsi" w:cstheme="minorHAnsi"/>
      <w:color w:val="FF0000"/>
      <w:sz w:val="32"/>
      <w:szCs w:val="28"/>
      <w:lang w:val="en-GB"/>
    </w:rPr>
  </w:style>
  <w:style w:type="character" w:customStyle="1" w:styleId="HindawiStyleHead2Char">
    <w:name w:val="HindawiStyleHead2 Char"/>
    <w:basedOn w:val="DefaultParagraphFont"/>
    <w:link w:val="HindawiStyleHead2"/>
    <w:rsid w:val="00595E23"/>
    <w:rPr>
      <w:rFonts w:asciiTheme="minorHAnsi" w:hAnsiTheme="minorHAnsi" w:cstheme="minorHAnsi"/>
      <w:color w:val="FF0000"/>
      <w:sz w:val="32"/>
      <w:szCs w:val="28"/>
      <w:lang w:val="en-GB"/>
    </w:rPr>
  </w:style>
  <w:style w:type="paragraph" w:customStyle="1" w:styleId="HindawiStyleHead3">
    <w:name w:val="HindawiStyleHead3"/>
    <w:basedOn w:val="Normal"/>
    <w:link w:val="HindawiStyleHead3Char"/>
    <w:rsid w:val="00595E23"/>
    <w:rPr>
      <w:rFonts w:asciiTheme="minorHAnsi" w:hAnsiTheme="minorHAnsi" w:cstheme="minorHAnsi"/>
      <w:color w:val="008000"/>
      <w:sz w:val="28"/>
      <w:szCs w:val="28"/>
      <w:lang w:val="en-GB"/>
    </w:rPr>
  </w:style>
  <w:style w:type="character" w:customStyle="1" w:styleId="HindawiStyleHead3Char">
    <w:name w:val="HindawiStyleHead3 Char"/>
    <w:basedOn w:val="DefaultParagraphFont"/>
    <w:link w:val="HindawiStyleHead3"/>
    <w:rsid w:val="00595E23"/>
    <w:rPr>
      <w:rFonts w:asciiTheme="minorHAnsi" w:hAnsiTheme="minorHAnsi" w:cstheme="minorHAnsi"/>
      <w:color w:val="008000"/>
      <w:sz w:val="28"/>
      <w:szCs w:val="28"/>
      <w:lang w:val="en-GB"/>
    </w:rPr>
  </w:style>
  <w:style w:type="paragraph" w:customStyle="1" w:styleId="HindawiStyleHead4">
    <w:name w:val="HindawiStyleHead4"/>
    <w:basedOn w:val="Normal"/>
    <w:link w:val="HindawiStyleHead4Char"/>
    <w:rsid w:val="00595E23"/>
    <w:rPr>
      <w:rFonts w:asciiTheme="minorHAnsi" w:hAnsiTheme="minorHAnsi" w:cstheme="minorHAnsi"/>
      <w:color w:val="993366"/>
      <w:sz w:val="28"/>
      <w:szCs w:val="28"/>
      <w:lang w:val="en-GB"/>
    </w:rPr>
  </w:style>
  <w:style w:type="character" w:customStyle="1" w:styleId="HindawiStyleHead4Char">
    <w:name w:val="HindawiStyleHead4 Char"/>
    <w:basedOn w:val="DefaultParagraphFont"/>
    <w:link w:val="HindawiStyleHead4"/>
    <w:rsid w:val="00595E23"/>
    <w:rPr>
      <w:rFonts w:asciiTheme="minorHAnsi" w:hAnsiTheme="minorHAnsi" w:cstheme="minorHAnsi"/>
      <w:color w:val="993366"/>
      <w:sz w:val="28"/>
      <w:szCs w:val="28"/>
      <w:lang w:val="en-GB"/>
    </w:rPr>
  </w:style>
  <w:style w:type="paragraph" w:customStyle="1" w:styleId="HindawiStyleAck">
    <w:name w:val="HindawiStyleAck"/>
    <w:basedOn w:val="Normal"/>
    <w:link w:val="HindawiStyleAckChar"/>
    <w:rsid w:val="00595E23"/>
    <w:rPr>
      <w:rFonts w:asciiTheme="majorHAnsi" w:hAnsiTheme="majorHAnsi"/>
      <w:color w:val="000000"/>
      <w:sz w:val="34"/>
      <w:szCs w:val="28"/>
      <w:lang w:val="en-GB"/>
    </w:rPr>
  </w:style>
  <w:style w:type="character" w:customStyle="1" w:styleId="HindawiStyleAckChar">
    <w:name w:val="HindawiStyleAck Char"/>
    <w:basedOn w:val="DefaultParagraphFont"/>
    <w:link w:val="HindawiStyleAck"/>
    <w:rsid w:val="00595E23"/>
    <w:rPr>
      <w:rFonts w:asciiTheme="majorHAnsi" w:hAnsiTheme="majorHAnsi"/>
      <w:color w:val="000000"/>
      <w:sz w:val="34"/>
      <w:szCs w:val="28"/>
      <w:lang w:val="en-GB"/>
    </w:rPr>
  </w:style>
  <w:style w:type="paragraph" w:customStyle="1" w:styleId="HindawiTitleStyle">
    <w:name w:val="HindawiTitleStyle"/>
    <w:basedOn w:val="Normal"/>
    <w:link w:val="HindawiTitleStyleChar"/>
    <w:rsid w:val="00595E23"/>
    <w:pPr>
      <w:jc w:val="center"/>
    </w:pPr>
    <w:rPr>
      <w:color w:val="1F497D" w:themeColor="text2"/>
      <w:sz w:val="28"/>
      <w:szCs w:val="28"/>
      <w:lang w:val="en-GB"/>
    </w:rPr>
  </w:style>
  <w:style w:type="character" w:customStyle="1" w:styleId="HindawiTitleStyleChar">
    <w:name w:val="HindawiTitleStyle Char"/>
    <w:basedOn w:val="DefaultParagraphFont"/>
    <w:link w:val="HindawiTitleStyle"/>
    <w:rsid w:val="00595E23"/>
    <w:rPr>
      <w:color w:val="1F497D" w:themeColor="text2"/>
      <w:sz w:val="28"/>
      <w:szCs w:val="28"/>
      <w:lang w:val="en-GB"/>
    </w:rPr>
  </w:style>
</w:styles>
</file>

<file path=word/webSettings.xml><?xml version="1.0" encoding="utf-8"?>
<w:webSettings xmlns:r="http://schemas.openxmlformats.org/officeDocument/2006/relationships" xmlns:w="http://schemas.openxmlformats.org/wordprocessingml/2006/main">
  <w:divs>
    <w:div w:id="83117270">
      <w:bodyDiv w:val="1"/>
      <w:marLeft w:val="0"/>
      <w:marRight w:val="0"/>
      <w:marTop w:val="0"/>
      <w:marBottom w:val="0"/>
      <w:divBdr>
        <w:top w:val="none" w:sz="0" w:space="0" w:color="auto"/>
        <w:left w:val="none" w:sz="0" w:space="0" w:color="auto"/>
        <w:bottom w:val="none" w:sz="0" w:space="0" w:color="auto"/>
        <w:right w:val="none" w:sz="0" w:space="0" w:color="auto"/>
      </w:divBdr>
      <w:divsChild>
        <w:div w:id="359087866">
          <w:marLeft w:val="0"/>
          <w:marRight w:val="0"/>
          <w:marTop w:val="0"/>
          <w:marBottom w:val="0"/>
          <w:divBdr>
            <w:top w:val="none" w:sz="0" w:space="0" w:color="auto"/>
            <w:left w:val="none" w:sz="0" w:space="0" w:color="auto"/>
            <w:bottom w:val="none" w:sz="0" w:space="0" w:color="auto"/>
            <w:right w:val="none" w:sz="0" w:space="0" w:color="auto"/>
          </w:divBdr>
          <w:divsChild>
            <w:div w:id="580868433">
              <w:marLeft w:val="0"/>
              <w:marRight w:val="0"/>
              <w:marTop w:val="60"/>
              <w:marBottom w:val="0"/>
              <w:divBdr>
                <w:top w:val="none" w:sz="0" w:space="0" w:color="auto"/>
                <w:left w:val="none" w:sz="0" w:space="0" w:color="auto"/>
                <w:bottom w:val="none" w:sz="0" w:space="0" w:color="auto"/>
                <w:right w:val="none" w:sz="0" w:space="0" w:color="auto"/>
              </w:divBdr>
              <w:divsChild>
                <w:div w:id="322708934">
                  <w:marLeft w:val="0"/>
                  <w:marRight w:val="0"/>
                  <w:marTop w:val="0"/>
                  <w:marBottom w:val="0"/>
                  <w:divBdr>
                    <w:top w:val="single" w:sz="6" w:space="0" w:color="555555"/>
                    <w:left w:val="single" w:sz="6" w:space="0" w:color="555555"/>
                    <w:bottom w:val="single" w:sz="6" w:space="0" w:color="111111"/>
                    <w:right w:val="single" w:sz="6" w:space="0" w:color="000000"/>
                  </w:divBdr>
                  <w:divsChild>
                    <w:div w:id="16260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1268">
      <w:bodyDiv w:val="1"/>
      <w:marLeft w:val="0"/>
      <w:marRight w:val="0"/>
      <w:marTop w:val="0"/>
      <w:marBottom w:val="0"/>
      <w:divBdr>
        <w:top w:val="none" w:sz="0" w:space="0" w:color="auto"/>
        <w:left w:val="none" w:sz="0" w:space="0" w:color="auto"/>
        <w:bottom w:val="none" w:sz="0" w:space="0" w:color="auto"/>
        <w:right w:val="none" w:sz="0" w:space="0" w:color="auto"/>
      </w:divBdr>
      <w:divsChild>
        <w:div w:id="210266199">
          <w:marLeft w:val="0"/>
          <w:marRight w:val="0"/>
          <w:marTop w:val="0"/>
          <w:marBottom w:val="0"/>
          <w:divBdr>
            <w:top w:val="none" w:sz="0" w:space="0" w:color="auto"/>
            <w:left w:val="none" w:sz="0" w:space="0" w:color="auto"/>
            <w:bottom w:val="none" w:sz="0" w:space="0" w:color="auto"/>
            <w:right w:val="none" w:sz="0" w:space="0" w:color="auto"/>
          </w:divBdr>
          <w:divsChild>
            <w:div w:id="1382941676">
              <w:marLeft w:val="0"/>
              <w:marRight w:val="0"/>
              <w:marTop w:val="0"/>
              <w:marBottom w:val="0"/>
              <w:divBdr>
                <w:top w:val="none" w:sz="0" w:space="0" w:color="auto"/>
                <w:left w:val="none" w:sz="0" w:space="0" w:color="auto"/>
                <w:bottom w:val="none" w:sz="0" w:space="0" w:color="auto"/>
                <w:right w:val="none" w:sz="0" w:space="0" w:color="auto"/>
              </w:divBdr>
              <w:divsChild>
                <w:div w:id="14404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25330">
      <w:bodyDiv w:val="1"/>
      <w:marLeft w:val="0"/>
      <w:marRight w:val="0"/>
      <w:marTop w:val="0"/>
      <w:marBottom w:val="0"/>
      <w:divBdr>
        <w:top w:val="none" w:sz="0" w:space="0" w:color="auto"/>
        <w:left w:val="none" w:sz="0" w:space="0" w:color="auto"/>
        <w:bottom w:val="none" w:sz="0" w:space="0" w:color="auto"/>
        <w:right w:val="none" w:sz="0" w:space="0" w:color="auto"/>
      </w:divBdr>
    </w:div>
    <w:div w:id="496383541">
      <w:bodyDiv w:val="1"/>
      <w:marLeft w:val="0"/>
      <w:marRight w:val="0"/>
      <w:marTop w:val="0"/>
      <w:marBottom w:val="0"/>
      <w:divBdr>
        <w:top w:val="none" w:sz="0" w:space="0" w:color="auto"/>
        <w:left w:val="none" w:sz="0" w:space="0" w:color="auto"/>
        <w:bottom w:val="none" w:sz="0" w:space="0" w:color="auto"/>
        <w:right w:val="none" w:sz="0" w:space="0" w:color="auto"/>
      </w:divBdr>
      <w:divsChild>
        <w:div w:id="508640247">
          <w:marLeft w:val="0"/>
          <w:marRight w:val="0"/>
          <w:marTop w:val="0"/>
          <w:marBottom w:val="0"/>
          <w:divBdr>
            <w:top w:val="none" w:sz="0" w:space="0" w:color="auto"/>
            <w:left w:val="none" w:sz="0" w:space="0" w:color="auto"/>
            <w:bottom w:val="none" w:sz="0" w:space="0" w:color="auto"/>
            <w:right w:val="none" w:sz="0" w:space="0" w:color="auto"/>
          </w:divBdr>
          <w:divsChild>
            <w:div w:id="1858346517">
              <w:marLeft w:val="0"/>
              <w:marRight w:val="0"/>
              <w:marTop w:val="0"/>
              <w:marBottom w:val="0"/>
              <w:divBdr>
                <w:top w:val="none" w:sz="0" w:space="0" w:color="auto"/>
                <w:left w:val="none" w:sz="0" w:space="0" w:color="auto"/>
                <w:bottom w:val="none" w:sz="0" w:space="0" w:color="auto"/>
                <w:right w:val="none" w:sz="0" w:space="0" w:color="auto"/>
              </w:divBdr>
              <w:divsChild>
                <w:div w:id="1099832011">
                  <w:marLeft w:val="0"/>
                  <w:marRight w:val="0"/>
                  <w:marTop w:val="0"/>
                  <w:marBottom w:val="0"/>
                  <w:divBdr>
                    <w:top w:val="none" w:sz="0" w:space="0" w:color="auto"/>
                    <w:left w:val="none" w:sz="0" w:space="0" w:color="auto"/>
                    <w:bottom w:val="none" w:sz="0" w:space="0" w:color="auto"/>
                    <w:right w:val="none" w:sz="0" w:space="0" w:color="auto"/>
                  </w:divBdr>
                  <w:divsChild>
                    <w:div w:id="1181092423">
                      <w:marLeft w:val="0"/>
                      <w:marRight w:val="0"/>
                      <w:marTop w:val="0"/>
                      <w:marBottom w:val="0"/>
                      <w:divBdr>
                        <w:top w:val="none" w:sz="0" w:space="0" w:color="auto"/>
                        <w:left w:val="none" w:sz="0" w:space="0" w:color="auto"/>
                        <w:bottom w:val="none" w:sz="0" w:space="0" w:color="auto"/>
                        <w:right w:val="none" w:sz="0" w:space="0" w:color="auto"/>
                      </w:divBdr>
                      <w:divsChild>
                        <w:div w:id="625697724">
                          <w:marLeft w:val="0"/>
                          <w:marRight w:val="0"/>
                          <w:marTop w:val="0"/>
                          <w:marBottom w:val="0"/>
                          <w:divBdr>
                            <w:top w:val="none" w:sz="0" w:space="0" w:color="auto"/>
                            <w:left w:val="none" w:sz="0" w:space="0" w:color="auto"/>
                            <w:bottom w:val="none" w:sz="0" w:space="0" w:color="auto"/>
                            <w:right w:val="none" w:sz="0" w:space="0" w:color="auto"/>
                          </w:divBdr>
                          <w:divsChild>
                            <w:div w:id="1133523175">
                              <w:marLeft w:val="0"/>
                              <w:marRight w:val="0"/>
                              <w:marTop w:val="0"/>
                              <w:marBottom w:val="0"/>
                              <w:divBdr>
                                <w:top w:val="none" w:sz="0" w:space="0" w:color="auto"/>
                                <w:left w:val="none" w:sz="0" w:space="0" w:color="auto"/>
                                <w:bottom w:val="none" w:sz="0" w:space="0" w:color="auto"/>
                                <w:right w:val="none" w:sz="0" w:space="0" w:color="auto"/>
                              </w:divBdr>
                              <w:divsChild>
                                <w:div w:id="901912205">
                                  <w:marLeft w:val="0"/>
                                  <w:marRight w:val="990"/>
                                  <w:marTop w:val="0"/>
                                  <w:marBottom w:val="204"/>
                                  <w:divBdr>
                                    <w:top w:val="none" w:sz="0" w:space="0" w:color="auto"/>
                                    <w:left w:val="none" w:sz="0" w:space="0" w:color="auto"/>
                                    <w:bottom w:val="none" w:sz="0" w:space="0" w:color="auto"/>
                                    <w:right w:val="none" w:sz="0" w:space="0" w:color="auto"/>
                                  </w:divBdr>
                                </w:div>
                                <w:div w:id="505443878">
                                  <w:marLeft w:val="0"/>
                                  <w:marRight w:val="9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114009">
      <w:bodyDiv w:val="1"/>
      <w:marLeft w:val="0"/>
      <w:marRight w:val="0"/>
      <w:marTop w:val="0"/>
      <w:marBottom w:val="0"/>
      <w:divBdr>
        <w:top w:val="none" w:sz="0" w:space="0" w:color="auto"/>
        <w:left w:val="none" w:sz="0" w:space="0" w:color="auto"/>
        <w:bottom w:val="none" w:sz="0" w:space="0" w:color="auto"/>
        <w:right w:val="none" w:sz="0" w:space="0" w:color="auto"/>
      </w:divBdr>
      <w:divsChild>
        <w:div w:id="1461919176">
          <w:marLeft w:val="0"/>
          <w:marRight w:val="0"/>
          <w:marTop w:val="0"/>
          <w:marBottom w:val="0"/>
          <w:divBdr>
            <w:top w:val="none" w:sz="0" w:space="0" w:color="auto"/>
            <w:left w:val="none" w:sz="0" w:space="0" w:color="auto"/>
            <w:bottom w:val="none" w:sz="0" w:space="0" w:color="auto"/>
            <w:right w:val="none" w:sz="0" w:space="0" w:color="auto"/>
          </w:divBdr>
          <w:divsChild>
            <w:div w:id="1916352878">
              <w:marLeft w:val="0"/>
              <w:marRight w:val="0"/>
              <w:marTop w:val="0"/>
              <w:marBottom w:val="0"/>
              <w:divBdr>
                <w:top w:val="none" w:sz="0" w:space="0" w:color="auto"/>
                <w:left w:val="none" w:sz="0" w:space="0" w:color="auto"/>
                <w:bottom w:val="none" w:sz="0" w:space="0" w:color="auto"/>
                <w:right w:val="none" w:sz="0" w:space="0" w:color="auto"/>
              </w:divBdr>
              <w:divsChild>
                <w:div w:id="1888570259">
                  <w:marLeft w:val="0"/>
                  <w:marRight w:val="0"/>
                  <w:marTop w:val="0"/>
                  <w:marBottom w:val="0"/>
                  <w:divBdr>
                    <w:top w:val="none" w:sz="0" w:space="0" w:color="auto"/>
                    <w:left w:val="none" w:sz="0" w:space="0" w:color="auto"/>
                    <w:bottom w:val="none" w:sz="0" w:space="0" w:color="auto"/>
                    <w:right w:val="none" w:sz="0" w:space="0" w:color="auto"/>
                  </w:divBdr>
                  <w:divsChild>
                    <w:div w:id="15147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60010">
      <w:bodyDiv w:val="1"/>
      <w:marLeft w:val="0"/>
      <w:marRight w:val="0"/>
      <w:marTop w:val="0"/>
      <w:marBottom w:val="0"/>
      <w:divBdr>
        <w:top w:val="none" w:sz="0" w:space="0" w:color="auto"/>
        <w:left w:val="none" w:sz="0" w:space="0" w:color="auto"/>
        <w:bottom w:val="none" w:sz="0" w:space="0" w:color="auto"/>
        <w:right w:val="none" w:sz="0" w:space="0" w:color="auto"/>
      </w:divBdr>
    </w:div>
    <w:div w:id="632095852">
      <w:bodyDiv w:val="1"/>
      <w:marLeft w:val="0"/>
      <w:marRight w:val="0"/>
      <w:marTop w:val="0"/>
      <w:marBottom w:val="0"/>
      <w:divBdr>
        <w:top w:val="none" w:sz="0" w:space="0" w:color="auto"/>
        <w:left w:val="none" w:sz="0" w:space="0" w:color="auto"/>
        <w:bottom w:val="none" w:sz="0" w:space="0" w:color="auto"/>
        <w:right w:val="none" w:sz="0" w:space="0" w:color="auto"/>
      </w:divBdr>
    </w:div>
    <w:div w:id="930241755">
      <w:bodyDiv w:val="1"/>
      <w:marLeft w:val="0"/>
      <w:marRight w:val="0"/>
      <w:marTop w:val="0"/>
      <w:marBottom w:val="0"/>
      <w:divBdr>
        <w:top w:val="none" w:sz="0" w:space="0" w:color="auto"/>
        <w:left w:val="none" w:sz="0" w:space="0" w:color="auto"/>
        <w:bottom w:val="none" w:sz="0" w:space="0" w:color="auto"/>
        <w:right w:val="none" w:sz="0" w:space="0" w:color="auto"/>
      </w:divBdr>
    </w:div>
    <w:div w:id="939753179">
      <w:bodyDiv w:val="1"/>
      <w:marLeft w:val="0"/>
      <w:marRight w:val="0"/>
      <w:marTop w:val="0"/>
      <w:marBottom w:val="0"/>
      <w:divBdr>
        <w:top w:val="none" w:sz="0" w:space="0" w:color="auto"/>
        <w:left w:val="none" w:sz="0" w:space="0" w:color="auto"/>
        <w:bottom w:val="none" w:sz="0" w:space="0" w:color="auto"/>
        <w:right w:val="none" w:sz="0" w:space="0" w:color="auto"/>
      </w:divBdr>
    </w:div>
    <w:div w:id="1294483174">
      <w:bodyDiv w:val="1"/>
      <w:marLeft w:val="0"/>
      <w:marRight w:val="0"/>
      <w:marTop w:val="0"/>
      <w:marBottom w:val="0"/>
      <w:divBdr>
        <w:top w:val="none" w:sz="0" w:space="0" w:color="auto"/>
        <w:left w:val="none" w:sz="0" w:space="0" w:color="auto"/>
        <w:bottom w:val="none" w:sz="0" w:space="0" w:color="auto"/>
        <w:right w:val="none" w:sz="0" w:space="0" w:color="auto"/>
      </w:divBdr>
    </w:div>
    <w:div w:id="1363632371">
      <w:bodyDiv w:val="1"/>
      <w:marLeft w:val="0"/>
      <w:marRight w:val="0"/>
      <w:marTop w:val="0"/>
      <w:marBottom w:val="0"/>
      <w:divBdr>
        <w:top w:val="none" w:sz="0" w:space="0" w:color="auto"/>
        <w:left w:val="none" w:sz="0" w:space="0" w:color="auto"/>
        <w:bottom w:val="none" w:sz="0" w:space="0" w:color="auto"/>
        <w:right w:val="none" w:sz="0" w:space="0" w:color="auto"/>
      </w:divBdr>
    </w:div>
    <w:div w:id="1387799575">
      <w:bodyDiv w:val="1"/>
      <w:marLeft w:val="0"/>
      <w:marRight w:val="0"/>
      <w:marTop w:val="0"/>
      <w:marBottom w:val="0"/>
      <w:divBdr>
        <w:top w:val="none" w:sz="0" w:space="0" w:color="auto"/>
        <w:left w:val="none" w:sz="0" w:space="0" w:color="auto"/>
        <w:bottom w:val="none" w:sz="0" w:space="0" w:color="auto"/>
        <w:right w:val="none" w:sz="0" w:space="0" w:color="auto"/>
      </w:divBdr>
      <w:divsChild>
        <w:div w:id="1739282263">
          <w:marLeft w:val="0"/>
          <w:marRight w:val="0"/>
          <w:marTop w:val="0"/>
          <w:marBottom w:val="0"/>
          <w:divBdr>
            <w:top w:val="none" w:sz="0" w:space="0" w:color="auto"/>
            <w:left w:val="none" w:sz="0" w:space="0" w:color="auto"/>
            <w:bottom w:val="none" w:sz="0" w:space="0" w:color="auto"/>
            <w:right w:val="none" w:sz="0" w:space="0" w:color="auto"/>
          </w:divBdr>
          <w:divsChild>
            <w:div w:id="1241284249">
              <w:marLeft w:val="0"/>
              <w:marRight w:val="0"/>
              <w:marTop w:val="0"/>
              <w:marBottom w:val="0"/>
              <w:divBdr>
                <w:top w:val="none" w:sz="0" w:space="0" w:color="auto"/>
                <w:left w:val="none" w:sz="0" w:space="0" w:color="auto"/>
                <w:bottom w:val="none" w:sz="0" w:space="0" w:color="auto"/>
                <w:right w:val="none" w:sz="0" w:space="0" w:color="auto"/>
              </w:divBdr>
              <w:divsChild>
                <w:div w:id="1465125934">
                  <w:marLeft w:val="0"/>
                  <w:marRight w:val="0"/>
                  <w:marTop w:val="0"/>
                  <w:marBottom w:val="0"/>
                  <w:divBdr>
                    <w:top w:val="none" w:sz="0" w:space="0" w:color="auto"/>
                    <w:left w:val="none" w:sz="0" w:space="0" w:color="auto"/>
                    <w:bottom w:val="none" w:sz="0" w:space="0" w:color="auto"/>
                    <w:right w:val="none" w:sz="0" w:space="0" w:color="auto"/>
                  </w:divBdr>
                  <w:divsChild>
                    <w:div w:id="1987776619">
                      <w:marLeft w:val="0"/>
                      <w:marRight w:val="0"/>
                      <w:marTop w:val="0"/>
                      <w:marBottom w:val="0"/>
                      <w:divBdr>
                        <w:top w:val="none" w:sz="0" w:space="0" w:color="auto"/>
                        <w:left w:val="none" w:sz="0" w:space="0" w:color="auto"/>
                        <w:bottom w:val="none" w:sz="0" w:space="0" w:color="auto"/>
                        <w:right w:val="none" w:sz="0" w:space="0" w:color="auto"/>
                      </w:divBdr>
                      <w:divsChild>
                        <w:div w:id="1301184050">
                          <w:marLeft w:val="0"/>
                          <w:marRight w:val="0"/>
                          <w:marTop w:val="0"/>
                          <w:marBottom w:val="0"/>
                          <w:divBdr>
                            <w:top w:val="none" w:sz="0" w:space="0" w:color="auto"/>
                            <w:left w:val="none" w:sz="0" w:space="0" w:color="auto"/>
                            <w:bottom w:val="none" w:sz="0" w:space="0" w:color="auto"/>
                            <w:right w:val="none" w:sz="0" w:space="0" w:color="auto"/>
                          </w:divBdr>
                          <w:divsChild>
                            <w:div w:id="1695879258">
                              <w:marLeft w:val="0"/>
                              <w:marRight w:val="0"/>
                              <w:marTop w:val="0"/>
                              <w:marBottom w:val="0"/>
                              <w:divBdr>
                                <w:top w:val="none" w:sz="0" w:space="0" w:color="auto"/>
                                <w:left w:val="none" w:sz="0" w:space="0" w:color="auto"/>
                                <w:bottom w:val="none" w:sz="0" w:space="0" w:color="auto"/>
                                <w:right w:val="none" w:sz="0" w:space="0" w:color="auto"/>
                              </w:divBdr>
                              <w:divsChild>
                                <w:div w:id="14307697">
                                  <w:marLeft w:val="0"/>
                                  <w:marRight w:val="990"/>
                                  <w:marTop w:val="0"/>
                                  <w:marBottom w:val="204"/>
                                  <w:divBdr>
                                    <w:top w:val="none" w:sz="0" w:space="0" w:color="auto"/>
                                    <w:left w:val="none" w:sz="0" w:space="0" w:color="auto"/>
                                    <w:bottom w:val="none" w:sz="0" w:space="0" w:color="auto"/>
                                    <w:right w:val="none" w:sz="0" w:space="0" w:color="auto"/>
                                  </w:divBdr>
                                </w:div>
                                <w:div w:id="200359973">
                                  <w:marLeft w:val="0"/>
                                  <w:marRight w:val="9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489192">
      <w:bodyDiv w:val="1"/>
      <w:marLeft w:val="0"/>
      <w:marRight w:val="0"/>
      <w:marTop w:val="0"/>
      <w:marBottom w:val="0"/>
      <w:divBdr>
        <w:top w:val="none" w:sz="0" w:space="0" w:color="auto"/>
        <w:left w:val="none" w:sz="0" w:space="0" w:color="auto"/>
        <w:bottom w:val="none" w:sz="0" w:space="0" w:color="auto"/>
        <w:right w:val="none" w:sz="0" w:space="0" w:color="auto"/>
      </w:divBdr>
      <w:divsChild>
        <w:div w:id="1152715792">
          <w:marLeft w:val="0"/>
          <w:marRight w:val="0"/>
          <w:marTop w:val="0"/>
          <w:marBottom w:val="0"/>
          <w:divBdr>
            <w:top w:val="none" w:sz="0" w:space="0" w:color="auto"/>
            <w:left w:val="none" w:sz="0" w:space="0" w:color="auto"/>
            <w:bottom w:val="none" w:sz="0" w:space="0" w:color="auto"/>
            <w:right w:val="none" w:sz="0" w:space="0" w:color="auto"/>
          </w:divBdr>
          <w:divsChild>
            <w:div w:id="1259296085">
              <w:marLeft w:val="0"/>
              <w:marRight w:val="0"/>
              <w:marTop w:val="0"/>
              <w:marBottom w:val="0"/>
              <w:divBdr>
                <w:top w:val="none" w:sz="0" w:space="0" w:color="auto"/>
                <w:left w:val="none" w:sz="0" w:space="0" w:color="auto"/>
                <w:bottom w:val="none" w:sz="0" w:space="0" w:color="auto"/>
                <w:right w:val="none" w:sz="0" w:space="0" w:color="auto"/>
              </w:divBdr>
              <w:divsChild>
                <w:div w:id="247663385">
                  <w:marLeft w:val="0"/>
                  <w:marRight w:val="0"/>
                  <w:marTop w:val="0"/>
                  <w:marBottom w:val="0"/>
                  <w:divBdr>
                    <w:top w:val="none" w:sz="0" w:space="0" w:color="auto"/>
                    <w:left w:val="none" w:sz="0" w:space="0" w:color="auto"/>
                    <w:bottom w:val="none" w:sz="0" w:space="0" w:color="auto"/>
                    <w:right w:val="none" w:sz="0" w:space="0" w:color="auto"/>
                  </w:divBdr>
                  <w:divsChild>
                    <w:div w:id="287979417">
                      <w:marLeft w:val="0"/>
                      <w:marRight w:val="0"/>
                      <w:marTop w:val="0"/>
                      <w:marBottom w:val="0"/>
                      <w:divBdr>
                        <w:top w:val="none" w:sz="0" w:space="0" w:color="auto"/>
                        <w:left w:val="none" w:sz="0" w:space="0" w:color="auto"/>
                        <w:bottom w:val="none" w:sz="0" w:space="0" w:color="auto"/>
                        <w:right w:val="none" w:sz="0" w:space="0" w:color="auto"/>
                      </w:divBdr>
                      <w:divsChild>
                        <w:div w:id="137841673">
                          <w:marLeft w:val="0"/>
                          <w:marRight w:val="0"/>
                          <w:marTop w:val="0"/>
                          <w:marBottom w:val="0"/>
                          <w:divBdr>
                            <w:top w:val="none" w:sz="0" w:space="0" w:color="auto"/>
                            <w:left w:val="none" w:sz="0" w:space="0" w:color="auto"/>
                            <w:bottom w:val="none" w:sz="0" w:space="0" w:color="auto"/>
                            <w:right w:val="none" w:sz="0" w:space="0" w:color="auto"/>
                          </w:divBdr>
                          <w:divsChild>
                            <w:div w:id="56414597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9389">
      <w:bodyDiv w:val="1"/>
      <w:marLeft w:val="0"/>
      <w:marRight w:val="0"/>
      <w:marTop w:val="0"/>
      <w:marBottom w:val="0"/>
      <w:divBdr>
        <w:top w:val="none" w:sz="0" w:space="0" w:color="auto"/>
        <w:left w:val="none" w:sz="0" w:space="0" w:color="auto"/>
        <w:bottom w:val="none" w:sz="0" w:space="0" w:color="auto"/>
        <w:right w:val="none" w:sz="0" w:space="0" w:color="auto"/>
      </w:divBdr>
      <w:divsChild>
        <w:div w:id="1654866941">
          <w:marLeft w:val="0"/>
          <w:marRight w:val="0"/>
          <w:marTop w:val="300"/>
          <w:marBottom w:val="0"/>
          <w:divBdr>
            <w:top w:val="none" w:sz="0" w:space="0" w:color="auto"/>
            <w:left w:val="none" w:sz="0" w:space="0" w:color="auto"/>
            <w:bottom w:val="none" w:sz="0" w:space="0" w:color="auto"/>
            <w:right w:val="none" w:sz="0" w:space="0" w:color="auto"/>
          </w:divBdr>
          <w:divsChild>
            <w:div w:id="1171019568">
              <w:marLeft w:val="0"/>
              <w:marRight w:val="0"/>
              <w:marTop w:val="0"/>
              <w:marBottom w:val="0"/>
              <w:divBdr>
                <w:top w:val="none" w:sz="0" w:space="0" w:color="auto"/>
                <w:left w:val="none" w:sz="0" w:space="0" w:color="auto"/>
                <w:bottom w:val="none" w:sz="0" w:space="0" w:color="auto"/>
                <w:right w:val="none" w:sz="0" w:space="0" w:color="auto"/>
              </w:divBdr>
              <w:divsChild>
                <w:div w:id="1731267873">
                  <w:marLeft w:val="0"/>
                  <w:marRight w:val="-3600"/>
                  <w:marTop w:val="0"/>
                  <w:marBottom w:val="0"/>
                  <w:divBdr>
                    <w:top w:val="none" w:sz="0" w:space="0" w:color="auto"/>
                    <w:left w:val="none" w:sz="0" w:space="0" w:color="auto"/>
                    <w:bottom w:val="none" w:sz="0" w:space="0" w:color="auto"/>
                    <w:right w:val="none" w:sz="0" w:space="0" w:color="auto"/>
                  </w:divBdr>
                  <w:divsChild>
                    <w:div w:id="790825997">
                      <w:marLeft w:val="300"/>
                      <w:marRight w:val="4200"/>
                      <w:marTop w:val="0"/>
                      <w:marBottom w:val="540"/>
                      <w:divBdr>
                        <w:top w:val="none" w:sz="0" w:space="0" w:color="auto"/>
                        <w:left w:val="none" w:sz="0" w:space="0" w:color="auto"/>
                        <w:bottom w:val="none" w:sz="0" w:space="0" w:color="auto"/>
                        <w:right w:val="none" w:sz="0" w:space="0" w:color="auto"/>
                      </w:divBdr>
                      <w:divsChild>
                        <w:div w:id="846863840">
                          <w:marLeft w:val="0"/>
                          <w:marRight w:val="0"/>
                          <w:marTop w:val="0"/>
                          <w:marBottom w:val="0"/>
                          <w:divBdr>
                            <w:top w:val="none" w:sz="0" w:space="0" w:color="auto"/>
                            <w:left w:val="none" w:sz="0" w:space="0" w:color="auto"/>
                            <w:bottom w:val="none" w:sz="0" w:space="0" w:color="auto"/>
                            <w:right w:val="none" w:sz="0" w:space="0" w:color="auto"/>
                          </w:divBdr>
                          <w:divsChild>
                            <w:div w:id="451897092">
                              <w:marLeft w:val="0"/>
                              <w:marRight w:val="0"/>
                              <w:marTop w:val="0"/>
                              <w:marBottom w:val="0"/>
                              <w:divBdr>
                                <w:top w:val="none" w:sz="0" w:space="0" w:color="auto"/>
                                <w:left w:val="none" w:sz="0" w:space="0" w:color="auto"/>
                                <w:bottom w:val="none" w:sz="0" w:space="0" w:color="auto"/>
                                <w:right w:val="none" w:sz="0" w:space="0" w:color="auto"/>
                              </w:divBdr>
                              <w:divsChild>
                                <w:div w:id="1958415036">
                                  <w:marLeft w:val="0"/>
                                  <w:marRight w:val="0"/>
                                  <w:marTop w:val="0"/>
                                  <w:marBottom w:val="0"/>
                                  <w:divBdr>
                                    <w:top w:val="none" w:sz="0" w:space="0" w:color="auto"/>
                                    <w:left w:val="none" w:sz="0" w:space="0" w:color="auto"/>
                                    <w:bottom w:val="none" w:sz="0" w:space="0" w:color="auto"/>
                                    <w:right w:val="none" w:sz="0" w:space="0" w:color="auto"/>
                                  </w:divBdr>
                                  <w:divsChild>
                                    <w:div w:id="1015578279">
                                      <w:marLeft w:val="0"/>
                                      <w:marRight w:val="0"/>
                                      <w:marTop w:val="0"/>
                                      <w:marBottom w:val="0"/>
                                      <w:divBdr>
                                        <w:top w:val="none" w:sz="0" w:space="0" w:color="auto"/>
                                        <w:left w:val="none" w:sz="0" w:space="0" w:color="auto"/>
                                        <w:bottom w:val="none" w:sz="0" w:space="0" w:color="auto"/>
                                        <w:right w:val="none" w:sz="0" w:space="0" w:color="auto"/>
                                      </w:divBdr>
                                      <w:divsChild>
                                        <w:div w:id="1041243522">
                                          <w:marLeft w:val="0"/>
                                          <w:marRight w:val="0"/>
                                          <w:marTop w:val="0"/>
                                          <w:marBottom w:val="0"/>
                                          <w:divBdr>
                                            <w:top w:val="none" w:sz="0" w:space="0" w:color="auto"/>
                                            <w:left w:val="none" w:sz="0" w:space="0" w:color="auto"/>
                                            <w:bottom w:val="none" w:sz="0" w:space="0" w:color="auto"/>
                                            <w:right w:val="none" w:sz="0" w:space="0" w:color="auto"/>
                                          </w:divBdr>
                                        </w:div>
                                        <w:div w:id="1078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1263">
                                  <w:marLeft w:val="0"/>
                                  <w:marRight w:val="0"/>
                                  <w:marTop w:val="0"/>
                                  <w:marBottom w:val="0"/>
                                  <w:divBdr>
                                    <w:top w:val="none" w:sz="0" w:space="0" w:color="auto"/>
                                    <w:left w:val="none" w:sz="0" w:space="0" w:color="auto"/>
                                    <w:bottom w:val="none" w:sz="0" w:space="0" w:color="auto"/>
                                    <w:right w:val="none" w:sz="0" w:space="0" w:color="auto"/>
                                  </w:divBdr>
                                  <w:divsChild>
                                    <w:div w:id="1805613435">
                                      <w:marLeft w:val="0"/>
                                      <w:marRight w:val="0"/>
                                      <w:marTop w:val="0"/>
                                      <w:marBottom w:val="0"/>
                                      <w:divBdr>
                                        <w:top w:val="none" w:sz="0" w:space="0" w:color="auto"/>
                                        <w:left w:val="none" w:sz="0" w:space="0" w:color="auto"/>
                                        <w:bottom w:val="none" w:sz="0" w:space="0" w:color="auto"/>
                                        <w:right w:val="none" w:sz="0" w:space="0" w:color="auto"/>
                                      </w:divBdr>
                                    </w:div>
                                  </w:divsChild>
                                </w:div>
                                <w:div w:id="7705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681510">
      <w:bodyDiv w:val="1"/>
      <w:marLeft w:val="0"/>
      <w:marRight w:val="0"/>
      <w:marTop w:val="0"/>
      <w:marBottom w:val="0"/>
      <w:divBdr>
        <w:top w:val="none" w:sz="0" w:space="0" w:color="auto"/>
        <w:left w:val="none" w:sz="0" w:space="0" w:color="auto"/>
        <w:bottom w:val="none" w:sz="0" w:space="0" w:color="auto"/>
        <w:right w:val="none" w:sz="0" w:space="0" w:color="auto"/>
      </w:divBdr>
    </w:div>
    <w:div w:id="160946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hyperlink" Target="http://www.esrl.noaa.gov/gmd/ccgg/trend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rredc.nrel.gov/solar/old-data/nsrdb/1991-2005/statistics/data.%20For%20CO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redc.nrel.gov/solar/old-data/nsrdb/1961-90/dsf/data" TargetMode="External"/><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mailto:Thomas.Mefford@noaa.gov" TargetMode="External"/><Relationship Id="rId10" Type="http://schemas.openxmlformats.org/officeDocument/2006/relationships/image" Target="media/image3.wmf"/><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F09AC-D0FD-4BCD-8A50-0FF1FA71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7</Pages>
  <Words>1200</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 English</dc:creator>
  <cp:keywords/>
  <dc:description/>
  <cp:lastModifiedBy>staff</cp:lastModifiedBy>
  <cp:revision>27</cp:revision>
  <cp:lastPrinted>2011-12-18T09:59:00Z</cp:lastPrinted>
  <dcterms:created xsi:type="dcterms:W3CDTF">2011-12-17T01:19:00Z</dcterms:created>
  <dcterms:modified xsi:type="dcterms:W3CDTF">2012-03-15T07:59:00Z</dcterms:modified>
</cp:coreProperties>
</file>