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E4" w:rsidRPr="009F11A6" w:rsidRDefault="001603E4" w:rsidP="001603E4">
      <w:pPr>
        <w:pStyle w:val="MDPI12title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valuation of commercial disinfectants against </w:t>
      </w:r>
      <w:r w:rsidRPr="009F11A6">
        <w:rPr>
          <w:rFonts w:ascii="Times New Roman" w:hAnsi="Times New Roman"/>
          <w:i/>
          <w:color w:val="auto"/>
          <w:sz w:val="24"/>
          <w:szCs w:val="24"/>
        </w:rPr>
        <w:t xml:space="preserve">Staphylococcus </w:t>
      </w:r>
      <w:proofErr w:type="spellStart"/>
      <w:r w:rsidRPr="009F11A6">
        <w:rPr>
          <w:rFonts w:ascii="Times New Roman" w:hAnsi="Times New Roman"/>
          <w:i/>
          <w:color w:val="auto"/>
          <w:sz w:val="24"/>
          <w:szCs w:val="24"/>
        </w:rPr>
        <w:t>lentus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and </w:t>
      </w:r>
      <w:r w:rsidRPr="009F11A6">
        <w:rPr>
          <w:rFonts w:ascii="Times New Roman" w:hAnsi="Times New Roman"/>
          <w:i/>
          <w:color w:val="auto"/>
          <w:sz w:val="24"/>
          <w:szCs w:val="24"/>
        </w:rPr>
        <w:t xml:space="preserve">Micrococcus 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spp. </w:t>
      </w:r>
      <w:r>
        <w:rPr>
          <w:rFonts w:ascii="Times New Roman" w:hAnsi="Times New Roman"/>
          <w:color w:val="auto"/>
          <w:sz w:val="24"/>
          <w:szCs w:val="24"/>
        </w:rPr>
        <w:t>of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 poultry </w:t>
      </w:r>
      <w:r>
        <w:rPr>
          <w:rFonts w:ascii="Times New Roman" w:hAnsi="Times New Roman"/>
          <w:color w:val="auto"/>
          <w:sz w:val="24"/>
          <w:szCs w:val="24"/>
        </w:rPr>
        <w:t>origin</w:t>
      </w:r>
    </w:p>
    <w:p w:rsidR="001603E4" w:rsidRPr="009F11A6" w:rsidRDefault="001603E4" w:rsidP="001603E4">
      <w:pPr>
        <w:pStyle w:val="MDPI13authornames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Otun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Saha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Nadira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Naznin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Rakhi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Arif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Istiaq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3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Israt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Islam</w:t>
      </w: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Munawar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Sultana </w:t>
      </w: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, M. Anwar Hossain </w:t>
      </w: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1,4,+</w:t>
      </w:r>
      <w:r w:rsidRPr="009F11A6">
        <w:rPr>
          <w:rFonts w:ascii="Times New Roman" w:hAnsi="Times New Roman"/>
          <w:color w:val="auto"/>
          <w:sz w:val="24"/>
          <w:szCs w:val="24"/>
        </w:rPr>
        <w:t xml:space="preserve"> and Md.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Mizanur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Rahaman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1,</w:t>
      </w:r>
      <w:r w:rsidRPr="00BF176B">
        <w:rPr>
          <w:rFonts w:ascii="Times New Roman" w:hAnsi="Times New Roman"/>
          <w:color w:val="auto"/>
          <w:sz w:val="24"/>
          <w:szCs w:val="24"/>
          <w:vertAlign w:val="superscript"/>
        </w:rPr>
        <w:t>*</w:t>
      </w:r>
    </w:p>
    <w:p w:rsidR="001603E4" w:rsidRPr="009F11A6" w:rsidRDefault="001603E4" w:rsidP="001603E4">
      <w:pPr>
        <w:pStyle w:val="MDPI16affiliation"/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Pr="009F11A6">
        <w:rPr>
          <w:rFonts w:ascii="Times New Roman" w:hAnsi="Times New Roman"/>
          <w:color w:val="auto"/>
          <w:sz w:val="24"/>
          <w:szCs w:val="24"/>
        </w:rPr>
        <w:tab/>
        <w:t>Department of Microbiology, University of Dhaka, Dhaka 1000, Bangladesh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1603E4" w:rsidRPr="009F11A6" w:rsidRDefault="001603E4" w:rsidP="001603E4">
      <w:pPr>
        <w:pStyle w:val="MDPI16affiliation"/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9F11A6">
        <w:rPr>
          <w:rFonts w:ascii="Times New Roman" w:hAnsi="Times New Roman"/>
          <w:color w:val="auto"/>
          <w:sz w:val="24"/>
          <w:szCs w:val="24"/>
        </w:rPr>
        <w:tab/>
        <w:t xml:space="preserve">Department of Biotechnology and Genetic Engineering,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Bangabandhu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Sheikh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Mujibur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Rahman Science and Technology University,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Gopalganj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>, Bangladesh.</w:t>
      </w:r>
    </w:p>
    <w:p w:rsidR="001603E4" w:rsidRPr="009F11A6" w:rsidRDefault="001603E4" w:rsidP="001603E4">
      <w:pPr>
        <w:pStyle w:val="MDPI16affiliation"/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F11A6">
        <w:rPr>
          <w:rFonts w:ascii="Times New Roman" w:hAnsi="Times New Roman"/>
          <w:color w:val="auto"/>
          <w:sz w:val="24"/>
          <w:szCs w:val="24"/>
          <w:vertAlign w:val="superscript"/>
        </w:rPr>
        <w:t>3</w:t>
      </w:r>
      <w:r w:rsidRPr="009F11A6">
        <w:rPr>
          <w:rFonts w:ascii="Times New Roman" w:hAnsi="Times New Roman"/>
          <w:color w:val="auto"/>
          <w:sz w:val="24"/>
          <w:szCs w:val="24"/>
        </w:rPr>
        <w:tab/>
        <w:t>Department of Developmental Neurobiology, Graduate School of Medical Sciences, Kumamoto University, Kumamoto, Japan.</w:t>
      </w:r>
    </w:p>
    <w:p w:rsidR="001603E4" w:rsidRPr="009F11A6" w:rsidRDefault="001603E4" w:rsidP="001603E4">
      <w:pPr>
        <w:pStyle w:val="MDPI16affiliation"/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F11A6">
        <w:rPr>
          <w:rFonts w:ascii="Times New Roman" w:hAnsi="Times New Roman"/>
          <w:color w:val="auto"/>
          <w:sz w:val="24"/>
          <w:szCs w:val="24"/>
        </w:rPr>
        <w:t xml:space="preserve">+Present Position: Vice-Chancellor, </w:t>
      </w:r>
      <w:proofErr w:type="spellStart"/>
      <w:r w:rsidRPr="009F11A6">
        <w:rPr>
          <w:rFonts w:ascii="Times New Roman" w:hAnsi="Times New Roman"/>
          <w:color w:val="auto"/>
          <w:sz w:val="24"/>
          <w:szCs w:val="24"/>
        </w:rPr>
        <w:t>Jashore</w:t>
      </w:r>
      <w:proofErr w:type="spellEnd"/>
      <w:r w:rsidRPr="009F11A6">
        <w:rPr>
          <w:rFonts w:ascii="Times New Roman" w:hAnsi="Times New Roman"/>
          <w:color w:val="auto"/>
          <w:sz w:val="24"/>
          <w:szCs w:val="24"/>
        </w:rPr>
        <w:t xml:space="preserve"> Science and Technology University, Bangladesh.</w:t>
      </w:r>
    </w:p>
    <w:p w:rsidR="001603E4" w:rsidRPr="009F11A6" w:rsidRDefault="001603E4" w:rsidP="001603E4">
      <w:pPr>
        <w:pStyle w:val="MDPI16affiliation"/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F11A6">
        <w:rPr>
          <w:rFonts w:ascii="Times New Roman" w:hAnsi="Times New Roman"/>
          <w:b/>
          <w:color w:val="auto"/>
          <w:sz w:val="24"/>
          <w:szCs w:val="24"/>
        </w:rPr>
        <w:t>*</w:t>
      </w:r>
      <w:r w:rsidRPr="009F11A6">
        <w:rPr>
          <w:rFonts w:ascii="Times New Roman" w:hAnsi="Times New Roman"/>
          <w:color w:val="auto"/>
          <w:sz w:val="24"/>
          <w:szCs w:val="24"/>
        </w:rPr>
        <w:tab/>
        <w:t>Correspondence: razu002@du.ac.bd; +8801796585290</w:t>
      </w:r>
    </w:p>
    <w:p w:rsidR="003C0169" w:rsidRDefault="003C0169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169" w:rsidRDefault="003C0169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9FA921F" wp14:editId="0CC47B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369887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2D019F">
      <w:pPr>
        <w:tabs>
          <w:tab w:val="left" w:pos="319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Supplementary Figure 1. Gel electrophoretograms is image of RAPD typing. (Lane 1: 100bp ladder as molecular size DNA marker. Lane 2: -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control, Lanes 3, Lane 4, Lane 5 represent group 1</w:t>
      </w:r>
      <w:r w:rsidR="00800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F7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C0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Staphylococcus </w:t>
      </w:r>
      <w:proofErr w:type="spellStart"/>
      <w:r w:rsidRPr="003C0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lentus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), Lane 6, Lane 7 represent group 2</w:t>
      </w:r>
      <w:r w:rsidR="00800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C0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Micrococcus </w:t>
      </w:r>
      <w:proofErr w:type="spellStart"/>
      <w:r w:rsidRPr="003C0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luteus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), Lane 8 and Lane 9 represent group 3 (</w:t>
      </w:r>
      <w:r w:rsidRPr="003C0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Micrococcus </w:t>
      </w:r>
      <w:proofErr w:type="spellStart"/>
      <w:r w:rsidRPr="003C0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aloeverae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D019F" w:rsidRPr="003C0169" w:rsidRDefault="002D019F" w:rsidP="002D019F">
      <w:pPr>
        <w:tabs>
          <w:tab w:val="left" w:pos="319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8C153A7" wp14:editId="5BB31C30">
            <wp:extent cx="5943600" cy="4042410"/>
            <wp:effectExtent l="0" t="0" r="0" b="0"/>
            <wp:docPr id="1" name="Picture 1" descr="C:\Users\mgbl-121\Desktop\dis new data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bl-121\Desktop\dis new data\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9F" w:rsidRPr="003C0169" w:rsidRDefault="002D019F" w:rsidP="002D019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Figure 2. Diagrammatic representation of antibiotic resistance pattern of the isolates. AMP= Ampicillin, P= Penicillin G,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Tetracycline, DO= Doxycycline, F=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Nitrofuran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CIP= Ciprofloxacin, Na=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Nalidixic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acid, Lev= Levofloxacin, IMP= Imipenem, FEP=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Cefeprime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CN= Gentamycin, S3= Sulfonamide, C= Chloramphenicol, E= Erythromycin,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Atm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= Azithromycin, and Tm= Trimethoprim. Green indicated sensitive isolates, Yellow indicated intermediate stage and red shows resistant number if the isolates.</w:t>
      </w:r>
    </w:p>
    <w:p w:rsidR="002D019F" w:rsidRPr="003C0169" w:rsidRDefault="002D019F" w:rsidP="002D019F">
      <w:pPr>
        <w:tabs>
          <w:tab w:val="left" w:pos="178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14D3435" wp14:editId="09D895C5">
            <wp:extent cx="5943600" cy="3065780"/>
            <wp:effectExtent l="0" t="0" r="0" b="1270"/>
            <wp:docPr id="2" name="Picture 2" descr="C:\Users\mgbl-121\Desktop\dis new data\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bl-121\Desktop\dis new data\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9F" w:rsidRPr="003C0169" w:rsidRDefault="002D019F" w:rsidP="002D019F">
      <w:pPr>
        <w:tabs>
          <w:tab w:val="left" w:pos="181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3C01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F6691A" wp14:editId="0C2AFB2E">
            <wp:simplePos x="0" y="0"/>
            <wp:positionH relativeFrom="margin">
              <wp:align>center</wp:align>
            </wp:positionH>
            <wp:positionV relativeFrom="paragraph">
              <wp:posOffset>1376045</wp:posOffset>
            </wp:positionV>
            <wp:extent cx="6836940" cy="3262579"/>
            <wp:effectExtent l="0" t="0" r="2540" b="0"/>
            <wp:wrapNone/>
            <wp:docPr id="8" name="Picture 8" descr="C:\Users\mgbl-121\Desktop\dis new data\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gbl-121\Desktop\dis new data\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940" cy="32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Figure 3.  Diagrammatic representation in vitro efficacy of disinfectant (100% conc.) against gram negative bacteria. Y axis represents the diameter of inhibition zone. </w:t>
      </w:r>
      <w:r w:rsidRPr="003C0169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Blue indicated </w:t>
      </w:r>
      <w:proofErr w:type="spellStart"/>
      <w:r w:rsidRPr="003C0169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Savlon</w:t>
      </w:r>
      <w:proofErr w:type="spellEnd"/>
      <w:r w:rsidRPr="003C0169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Gray </w:t>
      </w:r>
      <w:proofErr w:type="spellStart"/>
      <w:r w:rsidRPr="003C0169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Quatovet</w:t>
      </w:r>
      <w:proofErr w:type="spellEnd"/>
      <w:r w:rsidRPr="003C0169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black represented the Lysol, orange </w:t>
      </w:r>
      <w:proofErr w:type="spellStart"/>
      <w:r w:rsidRPr="003C0169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virocid</w:t>
      </w:r>
      <w:proofErr w:type="spellEnd"/>
      <w:r w:rsidRPr="003C0169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and green show Alcohol.</w:t>
      </w: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D019F" w:rsidRPr="003C0169" w:rsidRDefault="002D019F" w:rsidP="002D019F">
      <w:pPr>
        <w:tabs>
          <w:tab w:val="left" w:pos="178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</w:pPr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Supplementary Figure 4</w:t>
      </w:r>
      <w:r w:rsidRPr="003C0169"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 xml:space="preserve">. Box and Whisker plot (min/max, lower/upper quartiles and median) showing overall disinfection efficacy of various disinfectants against gram negative bacteria-axis shows most common zone of diameter area. a) Lysol; b)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>Quatovel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 xml:space="preserve">; c) Lysol; d)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>Virocid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 xml:space="preserve">; e)Alcohol; f)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>Virkon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 xml:space="preserve"> S</w:t>
      </w:r>
    </w:p>
    <w:p w:rsidR="002D019F" w:rsidRPr="003C0169" w:rsidRDefault="002D019F" w:rsidP="002D019F">
      <w:pPr>
        <w:tabs>
          <w:tab w:val="left" w:pos="17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</w:pPr>
      <w:r w:rsidRPr="003C01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7F2BEB8" wp14:editId="668B7CB9">
            <wp:extent cx="5943600" cy="3989070"/>
            <wp:effectExtent l="0" t="0" r="0" b="0"/>
            <wp:docPr id="11" name="Picture 11" descr="C:\Users\mgbl-121\Desktop\dis new data\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gbl-121\Desktop\dis new data\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9F" w:rsidRPr="003C0169" w:rsidRDefault="002D019F" w:rsidP="002D019F">
      <w:pPr>
        <w:pStyle w:val="MDPI51figurecaption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/>
          <w:color w:val="000000" w:themeColor="text1"/>
          <w:sz w:val="24"/>
          <w:szCs w:val="24"/>
        </w:rPr>
        <w:t>Supplementary Figure 5</w:t>
      </w:r>
      <w:r w:rsidRPr="003C0169">
        <w:rPr>
          <w:rFonts w:ascii="Times New Roman" w:hAnsi="Times New Roman"/>
          <w:color w:val="000000" w:themeColor="text1"/>
          <w:sz w:val="24"/>
          <w:szCs w:val="24"/>
          <w:lang w:bidi="bn-BD"/>
        </w:rPr>
        <w:t xml:space="preserve">. </w:t>
      </w:r>
      <w:r w:rsidRPr="003C0169">
        <w:rPr>
          <w:rFonts w:ascii="Times New Roman" w:hAnsi="Times New Roman"/>
          <w:color w:val="000000" w:themeColor="text1"/>
          <w:sz w:val="24"/>
          <w:szCs w:val="24"/>
        </w:rPr>
        <w:t xml:space="preserve">Percentage of resistance of isolated gram negative microorganisms against Specific disinfectant at 100% to 30% dose </w:t>
      </w:r>
      <w:proofErr w:type="spellStart"/>
      <w:r w:rsidRPr="003C0169">
        <w:rPr>
          <w:rFonts w:ascii="Times New Roman" w:hAnsi="Times New Roman"/>
          <w:color w:val="000000" w:themeColor="text1"/>
          <w:sz w:val="24"/>
          <w:szCs w:val="24"/>
        </w:rPr>
        <w:t>Conc</w:t>
      </w:r>
      <w:proofErr w:type="spellEnd"/>
      <w:r w:rsidRPr="003C0169">
        <w:rPr>
          <w:rFonts w:ascii="Times New Roman" w:hAnsi="Times New Roman"/>
          <w:color w:val="000000" w:themeColor="text1"/>
          <w:sz w:val="24"/>
          <w:szCs w:val="24"/>
        </w:rPr>
        <w:t>; X axis represent the dose percentages. Y axis represented the zone of inhibition in mm.</w:t>
      </w:r>
    </w:p>
    <w:p w:rsidR="002D019F" w:rsidRDefault="002D019F" w:rsidP="002D019F">
      <w:pPr>
        <w:tabs>
          <w:tab w:val="left" w:pos="17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</w:pPr>
    </w:p>
    <w:p w:rsidR="00F657D1" w:rsidRPr="003C0169" w:rsidRDefault="00F657D1" w:rsidP="002D019F">
      <w:pPr>
        <w:tabs>
          <w:tab w:val="left" w:pos="17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</w:pPr>
      <w:bookmarkStart w:id="0" w:name="_GoBack"/>
      <w:bookmarkEnd w:id="0"/>
    </w:p>
    <w:p w:rsidR="002D019F" w:rsidRPr="003C0169" w:rsidRDefault="002D019F" w:rsidP="002D0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9F" w:rsidRPr="003C0169" w:rsidRDefault="002D019F" w:rsidP="001E6B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B2E" w:rsidRPr="003C0169" w:rsidRDefault="001E6B2E" w:rsidP="001E6B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Supplementary Table 1. Antimicrobial susceptibility of the isolates as suggested by CLSI guideline </w:t>
      </w:r>
    </w:p>
    <w:tbl>
      <w:tblPr>
        <w:tblStyle w:val="TableGridLight"/>
        <w:tblW w:w="4906" w:type="pct"/>
        <w:tblLayout w:type="fixed"/>
        <w:tblLook w:val="04A0" w:firstRow="1" w:lastRow="0" w:firstColumn="1" w:lastColumn="0" w:noHBand="0" w:noVBand="1"/>
      </w:tblPr>
      <w:tblGrid>
        <w:gridCol w:w="880"/>
        <w:gridCol w:w="559"/>
        <w:gridCol w:w="560"/>
        <w:gridCol w:w="481"/>
        <w:gridCol w:w="481"/>
        <w:gridCol w:w="404"/>
        <w:gridCol w:w="402"/>
        <w:gridCol w:w="481"/>
        <w:gridCol w:w="402"/>
        <w:gridCol w:w="319"/>
        <w:gridCol w:w="319"/>
        <w:gridCol w:w="404"/>
        <w:gridCol w:w="319"/>
        <w:gridCol w:w="374"/>
        <w:gridCol w:w="360"/>
        <w:gridCol w:w="450"/>
        <w:gridCol w:w="360"/>
        <w:gridCol w:w="450"/>
        <w:gridCol w:w="1169"/>
      </w:tblGrid>
      <w:tr w:rsidR="003C0169" w:rsidRPr="003C0169" w:rsidTr="002F3AC0">
        <w:trPr>
          <w:trHeight w:val="1574"/>
        </w:trPr>
        <w:tc>
          <w:tcPr>
            <w:tcW w:w="480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Sample ID</w:t>
            </w:r>
          </w:p>
        </w:tc>
        <w:tc>
          <w:tcPr>
            <w:tcW w:w="305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AMP</w:t>
            </w:r>
          </w:p>
        </w:tc>
        <w:tc>
          <w:tcPr>
            <w:tcW w:w="305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PG</w:t>
            </w:r>
          </w:p>
        </w:tc>
        <w:tc>
          <w:tcPr>
            <w:tcW w:w="262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62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</w:t>
            </w:r>
          </w:p>
        </w:tc>
        <w:tc>
          <w:tcPr>
            <w:tcW w:w="220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9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CIP</w:t>
            </w:r>
          </w:p>
        </w:tc>
        <w:tc>
          <w:tcPr>
            <w:tcW w:w="262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219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Lux</w:t>
            </w:r>
          </w:p>
        </w:tc>
        <w:tc>
          <w:tcPr>
            <w:tcW w:w="174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IMP</w:t>
            </w:r>
          </w:p>
        </w:tc>
        <w:tc>
          <w:tcPr>
            <w:tcW w:w="174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FEP</w:t>
            </w:r>
          </w:p>
        </w:tc>
        <w:tc>
          <w:tcPr>
            <w:tcW w:w="220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GN</w:t>
            </w:r>
          </w:p>
        </w:tc>
        <w:tc>
          <w:tcPr>
            <w:tcW w:w="174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S3</w:t>
            </w:r>
          </w:p>
        </w:tc>
        <w:tc>
          <w:tcPr>
            <w:tcW w:w="204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6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5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196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5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No. of R</w:t>
            </w:r>
          </w:p>
        </w:tc>
        <w:tc>
          <w:tcPr>
            <w:tcW w:w="637" w:type="pct"/>
            <w:noWrap/>
            <w:textDirection w:val="btLr"/>
            <w:hideMark/>
          </w:tcPr>
          <w:p w:rsidR="001E6B2E" w:rsidRPr="003C0169" w:rsidRDefault="001E6B2E" w:rsidP="002F3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Biofilm(OD)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SL5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SL1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0.106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SL10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0.034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SL14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0.0273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SL9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0.31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SL29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0.027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SL40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0.035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SL19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0.033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SL12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SL37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SL41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SL28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0.062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SL30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0.132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SL34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0.041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SL15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SL17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ML9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ML7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0.104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ML3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0.028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MA1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0.173</w:t>
            </w:r>
          </w:p>
        </w:tc>
      </w:tr>
      <w:tr w:rsidR="003C0169" w:rsidRPr="003C0169" w:rsidTr="002F3AC0">
        <w:trPr>
          <w:trHeight w:val="281"/>
        </w:trPr>
        <w:tc>
          <w:tcPr>
            <w:tcW w:w="48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MA4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0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9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04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6" w:type="pct"/>
            <w:noWrap/>
            <w:hideMark/>
          </w:tcPr>
          <w:p w:rsidR="001E6B2E" w:rsidRPr="003C0169" w:rsidRDefault="001E6B2E" w:rsidP="002F3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5" w:type="pct"/>
            <w:noWrap/>
            <w:hideMark/>
          </w:tcPr>
          <w:p w:rsidR="001E6B2E" w:rsidRPr="003C0169" w:rsidRDefault="001E6B2E" w:rsidP="002F3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" w:type="pct"/>
            <w:noWrap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0.053</w:t>
            </w:r>
          </w:p>
        </w:tc>
      </w:tr>
    </w:tbl>
    <w:p w:rsidR="001E6B2E" w:rsidRPr="003C0169" w:rsidRDefault="001E6B2E" w:rsidP="001E6B2E">
      <w:pPr>
        <w:tabs>
          <w:tab w:val="left" w:pos="178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Here, (AMP=ampicillin; PG=Penicillin,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=Tetracycline, Do=Doxycycline, F=Nitrofurantoin, CIP=Ciprofloxacin, Na=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Nalidixic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acid, Lev=Levofloxacin, IPM=Imipenem, EFP=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Cefeprime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CN=Gentamycin, S3=Sulfonamide, C=Chloramphenicol, E=Erythromycin,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Atm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Azithromycon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Tm=Trimethoprim. R=Resistant; I=Intermediate, S=Sensitive. OD=Optical Density of biofilm assay. </w:t>
      </w:r>
    </w:p>
    <w:p w:rsidR="001E6B2E" w:rsidRDefault="001E6B2E" w:rsidP="001E6B2E">
      <w:pPr>
        <w:tabs>
          <w:tab w:val="left" w:pos="178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F69" w:rsidRPr="003C0169" w:rsidRDefault="00396F69" w:rsidP="001E6B2E">
      <w:pPr>
        <w:tabs>
          <w:tab w:val="left" w:pos="178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B2E" w:rsidRPr="003C0169" w:rsidRDefault="001E6B2E" w:rsidP="001E6B2E">
      <w:pPr>
        <w:tabs>
          <w:tab w:val="left" w:pos="178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B2E" w:rsidRPr="003C0169" w:rsidRDefault="001E6B2E" w:rsidP="001E6B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Supplemental Table 2: Zone of inhibition size (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Mean±SD</w:t>
      </w:r>
      <w:proofErr w:type="spellEnd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Descriptive statistics for of the tested gram negative organisms by for the disinfectants comparison at 100% </w:t>
      </w:r>
      <w:proofErr w:type="spellStart"/>
      <w:r w:rsidRPr="003C0169">
        <w:rPr>
          <w:rFonts w:ascii="Times New Roman" w:hAnsi="Times New Roman" w:cs="Times New Roman"/>
          <w:color w:val="000000" w:themeColor="text1"/>
          <w:sz w:val="24"/>
          <w:szCs w:val="24"/>
        </w:rPr>
        <w:t>ConC.</w:t>
      </w:r>
      <w:proofErr w:type="spellEnd"/>
    </w:p>
    <w:tbl>
      <w:tblPr>
        <w:tblStyle w:val="TableGridLight"/>
        <w:tblW w:w="9350" w:type="dxa"/>
        <w:tblLook w:val="04A0" w:firstRow="1" w:lastRow="0" w:firstColumn="1" w:lastColumn="0" w:noHBand="0" w:noVBand="1"/>
      </w:tblPr>
      <w:tblGrid>
        <w:gridCol w:w="1296"/>
        <w:gridCol w:w="1360"/>
        <w:gridCol w:w="1336"/>
        <w:gridCol w:w="1323"/>
        <w:gridCol w:w="1323"/>
        <w:gridCol w:w="1509"/>
        <w:gridCol w:w="1203"/>
      </w:tblGrid>
      <w:tr w:rsidR="003C0169" w:rsidRPr="003C0169" w:rsidTr="002F3AC0">
        <w:tc>
          <w:tcPr>
            <w:tcW w:w="1296" w:type="dxa"/>
            <w:hideMark/>
          </w:tcPr>
          <w:p w:rsidR="001E6B2E" w:rsidRPr="003C0169" w:rsidRDefault="001E6B2E" w:rsidP="002F3A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Organism</w:t>
            </w:r>
          </w:p>
        </w:tc>
        <w:tc>
          <w:tcPr>
            <w:tcW w:w="1360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Savlon</w:t>
            </w:r>
            <w:proofErr w:type="spellEnd"/>
          </w:p>
        </w:tc>
        <w:tc>
          <w:tcPr>
            <w:tcW w:w="1336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Virocid</w:t>
            </w:r>
            <w:proofErr w:type="spellEnd"/>
          </w:p>
        </w:tc>
        <w:tc>
          <w:tcPr>
            <w:tcW w:w="1323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Lysol</w:t>
            </w:r>
          </w:p>
        </w:tc>
        <w:tc>
          <w:tcPr>
            <w:tcW w:w="1323" w:type="dxa"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Virkon</w:t>
            </w:r>
            <w:proofErr w:type="spellEnd"/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</w:p>
        </w:tc>
        <w:tc>
          <w:tcPr>
            <w:tcW w:w="1509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Quatovet</w:t>
            </w:r>
            <w:proofErr w:type="spellEnd"/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hideMark/>
          </w:tcPr>
          <w:p w:rsidR="001E6B2E" w:rsidRPr="003C0169" w:rsidRDefault="00665CF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</w:t>
            </w:r>
          </w:p>
        </w:tc>
      </w:tr>
      <w:tr w:rsidR="003C0169" w:rsidRPr="003C0169" w:rsidTr="002F3AC0">
        <w:tc>
          <w:tcPr>
            <w:tcW w:w="1296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Salmonella</w:t>
            </w: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spp</w:t>
            </w:r>
            <w:r w:rsidRPr="003C01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0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1336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323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21.75±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0.102</w:t>
            </w:r>
          </w:p>
        </w:tc>
        <w:tc>
          <w:tcPr>
            <w:tcW w:w="1323" w:type="dxa"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31.25±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509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36.25±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0.0009</w:t>
            </w:r>
          </w:p>
        </w:tc>
        <w:tc>
          <w:tcPr>
            <w:tcW w:w="1203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3C0169" w:rsidRPr="003C0169" w:rsidTr="002F3AC0">
        <w:tc>
          <w:tcPr>
            <w:tcW w:w="1296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E.coli</w:t>
            </w:r>
          </w:p>
        </w:tc>
        <w:tc>
          <w:tcPr>
            <w:tcW w:w="1360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20.25±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336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21.75±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1323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1323" w:type="dxa"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509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</w:t>
            </w:r>
          </w:p>
        </w:tc>
        <w:tc>
          <w:tcPr>
            <w:tcW w:w="1203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1E6B2E" w:rsidRPr="003C0169" w:rsidTr="002F3AC0">
        <w:tc>
          <w:tcPr>
            <w:tcW w:w="1296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016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Klebsiella</w:t>
            </w:r>
            <w:proofErr w:type="spellEnd"/>
            <w:r w:rsidRPr="003C016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spp.</w:t>
            </w:r>
          </w:p>
        </w:tc>
        <w:tc>
          <w:tcPr>
            <w:tcW w:w="1360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23.25±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336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323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323" w:type="dxa"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509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25.25±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203" w:type="dxa"/>
            <w:hideMark/>
          </w:tcPr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10±</w:t>
            </w:r>
          </w:p>
          <w:p w:rsidR="001E6B2E" w:rsidRPr="003C0169" w:rsidRDefault="001E6B2E" w:rsidP="002F3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</w:tr>
    </w:tbl>
    <w:p w:rsidR="001E6B2E" w:rsidRPr="003C0169" w:rsidRDefault="001E6B2E" w:rsidP="001E6B2E">
      <w:pPr>
        <w:tabs>
          <w:tab w:val="left" w:pos="178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B2E" w:rsidRPr="003C0169" w:rsidRDefault="001E6B2E" w:rsidP="001E6B2E">
      <w:pPr>
        <w:tabs>
          <w:tab w:val="left" w:pos="178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526" w:rsidRPr="003C0169" w:rsidRDefault="00191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1526" w:rsidRPr="003C0169" w:rsidSect="003C01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56"/>
    <w:rsid w:val="001603E4"/>
    <w:rsid w:val="00191526"/>
    <w:rsid w:val="001D7CEB"/>
    <w:rsid w:val="001E6B2E"/>
    <w:rsid w:val="002D019F"/>
    <w:rsid w:val="00396F69"/>
    <w:rsid w:val="003C0169"/>
    <w:rsid w:val="00665CFE"/>
    <w:rsid w:val="00800F71"/>
    <w:rsid w:val="009A4347"/>
    <w:rsid w:val="00EF2756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04062-E1BC-4913-BB0E-9053669F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E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PI51figurecaption">
    <w:name w:val="MDPI_5.1_figure_caption"/>
    <w:basedOn w:val="Normal"/>
    <w:qFormat/>
    <w:rsid w:val="002D019F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3C0169"/>
  </w:style>
  <w:style w:type="paragraph" w:customStyle="1" w:styleId="MDPI12title">
    <w:name w:val="MDPI_1.2_title"/>
    <w:next w:val="MDPI13authornames"/>
    <w:qFormat/>
    <w:rsid w:val="003C016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3C0169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9A4347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2020-04-14T18:08:00Z</cp:lastPrinted>
  <dcterms:created xsi:type="dcterms:W3CDTF">2020-07-29T12:43:00Z</dcterms:created>
  <dcterms:modified xsi:type="dcterms:W3CDTF">2020-08-26T07:21:00Z</dcterms:modified>
</cp:coreProperties>
</file>