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68" w:rsidRPr="00452422" w:rsidRDefault="00707A68" w:rsidP="00707A68">
      <w:pPr>
        <w:autoSpaceDE w:val="0"/>
        <w:autoSpaceDN w:val="0"/>
        <w:adjustRightInd w:val="0"/>
        <w:spacing w:after="0" w:line="240" w:lineRule="auto"/>
        <w:rPr>
          <w:rFonts w:asciiTheme="majorBidi" w:hAnsiTheme="majorBidi" w:cstheme="majorBidi"/>
          <w:bCs/>
          <w:i/>
          <w:sz w:val="24"/>
          <w:szCs w:val="24"/>
        </w:rPr>
      </w:pPr>
      <w:r w:rsidRPr="00452422">
        <w:rPr>
          <w:rFonts w:asciiTheme="majorBidi" w:hAnsiTheme="majorBidi" w:cstheme="majorBidi"/>
          <w:bCs/>
          <w:i/>
          <w:sz w:val="24"/>
          <w:szCs w:val="24"/>
        </w:rPr>
        <w:t xml:space="preserve">Composition and phase analysis of raw slags </w:t>
      </w:r>
    </w:p>
    <w:p w:rsidR="00707A68" w:rsidRPr="00A57573" w:rsidRDefault="00707A68" w:rsidP="00707A68">
      <w:pPr>
        <w:autoSpaceDE w:val="0"/>
        <w:autoSpaceDN w:val="0"/>
        <w:adjustRightInd w:val="0"/>
        <w:spacing w:after="0" w:line="240" w:lineRule="auto"/>
        <w:rPr>
          <w:rFonts w:ascii="TimesNewRoman" w:eastAsia="Times New Roman" w:hAnsi="TimesNewRoman" w:cs="TimesNewRoman"/>
          <w:kern w:val="2"/>
          <w:sz w:val="24"/>
          <w:szCs w:val="24"/>
        </w:rPr>
      </w:pPr>
    </w:p>
    <w:p w:rsidR="00707A68" w:rsidRDefault="00707A68" w:rsidP="00707A68">
      <w:pPr>
        <w:autoSpaceDE w:val="0"/>
        <w:autoSpaceDN w:val="0"/>
        <w:adjustRightInd w:val="0"/>
        <w:spacing w:after="0" w:line="360" w:lineRule="auto"/>
        <w:jc w:val="both"/>
        <w:rPr>
          <w:rFonts w:ascii="Times New Roman" w:hAnsi="Times New Roman" w:cs="Times New Roman"/>
          <w:sz w:val="24"/>
          <w:szCs w:val="24"/>
        </w:rPr>
      </w:pPr>
      <w:r w:rsidRPr="00A57573">
        <w:rPr>
          <w:rFonts w:ascii="TimesNewRoman" w:eastAsia="Times New Roman" w:hAnsi="TimesNewRoman" w:cs="TimesNewRoman"/>
          <w:kern w:val="2"/>
          <w:sz w:val="24"/>
          <w:szCs w:val="24"/>
        </w:rPr>
        <w:t xml:space="preserve">The oxide composition of the CS and SS slags determined by </w:t>
      </w:r>
      <w:r>
        <w:rPr>
          <w:rFonts w:ascii="TimesNewRoman" w:eastAsia="Times New Roman" w:hAnsi="TimesNewRoman" w:cs="TimesNewRoman"/>
          <w:kern w:val="2"/>
          <w:sz w:val="24"/>
          <w:szCs w:val="24"/>
        </w:rPr>
        <w:t xml:space="preserve">XRF analysis is shown in table </w:t>
      </w:r>
      <w:r>
        <w:rPr>
          <w:rFonts w:ascii="TimesNewRoman" w:eastAsia="Times New Roman" w:hAnsi="TimesNewRoman" w:cs="TimesNewRoman"/>
          <w:kern w:val="2"/>
          <w:sz w:val="24"/>
          <w:szCs w:val="24"/>
        </w:rPr>
        <w:t>1</w:t>
      </w:r>
      <w:r w:rsidRPr="00A57573">
        <w:rPr>
          <w:rFonts w:ascii="TimesNewRoman" w:eastAsia="Times New Roman" w:hAnsi="TimesNewRoman" w:cs="TimesNewRoman"/>
          <w:kern w:val="2"/>
          <w:sz w:val="24"/>
          <w:szCs w:val="24"/>
        </w:rPr>
        <w:t>. As an indication of the activity of the slag,</w:t>
      </w:r>
      <w:r>
        <w:rPr>
          <w:rFonts w:ascii="TimesNewRoman" w:eastAsia="Times New Roman" w:hAnsi="TimesNewRoman" w:cs="TimesNewRoman"/>
          <w:kern w:val="2"/>
          <w:sz w:val="24"/>
          <w:szCs w:val="24"/>
        </w:rPr>
        <w:t xml:space="preserve"> </w:t>
      </w:r>
      <w:r w:rsidRPr="00A57573">
        <w:rPr>
          <w:rFonts w:ascii="TimesNewRoman" w:eastAsia="Times New Roman" w:hAnsi="TimesNewRoman" w:cs="TimesNewRoman"/>
          <w:kern w:val="2"/>
          <w:sz w:val="24"/>
          <w:szCs w:val="24"/>
        </w:rPr>
        <w:t>the alkalinity</w:t>
      </w:r>
      <w:r>
        <w:rPr>
          <w:rFonts w:ascii="TimesNewRoman" w:eastAsia="Times New Roman" w:hAnsi="TimesNewRoman" w:cs="TimesNewRoman"/>
          <w:kern w:val="2"/>
          <w:sz w:val="24"/>
          <w:szCs w:val="24"/>
        </w:rPr>
        <w:t xml:space="preserve"> (</w:t>
      </w:r>
      <w:r w:rsidRPr="00FE2905">
        <w:rPr>
          <w:rFonts w:ascii="TimesNewRoman" w:eastAsia="Times New Roman" w:hAnsi="TimesNewRoman" w:cs="TimesNewRoman"/>
          <w:i/>
          <w:kern w:val="2"/>
          <w:sz w:val="24"/>
          <w:szCs w:val="24"/>
        </w:rPr>
        <w:t>K</w:t>
      </w:r>
      <w:r>
        <w:rPr>
          <w:rFonts w:ascii="TimesNewRoman" w:eastAsia="Times New Roman" w:hAnsi="TimesNewRoman" w:cs="TimesNewRoman"/>
          <w:kern w:val="2"/>
          <w:sz w:val="24"/>
          <w:szCs w:val="24"/>
        </w:rPr>
        <w:t>)</w:t>
      </w:r>
      <w:r w:rsidRPr="00A57573">
        <w:rPr>
          <w:rFonts w:ascii="TimesNewRoman" w:eastAsia="Times New Roman" w:hAnsi="TimesNewRoman" w:cs="TimesNewRoman"/>
          <w:kern w:val="2"/>
          <w:sz w:val="24"/>
          <w:szCs w:val="24"/>
        </w:rPr>
        <w:t xml:space="preserve"> was calculated according to the formula</w:t>
      </w:r>
      <w:r>
        <w:rPr>
          <w:rFonts w:ascii="TimesNewRoman" w:hAnsi="TimesNewRoman" w:cs="TimesNewRoman" w:hint="eastAsia"/>
          <w:kern w:val="2"/>
          <w:sz w:val="24"/>
          <w:szCs w:val="24"/>
        </w:rPr>
        <w:t xml:space="preserve"> </w:t>
      </w:r>
      <w:r>
        <w:rPr>
          <w:rFonts w:ascii="TimesNewRoman" w:hAnsi="TimesNewRoman" w:cs="TimesNewRoman"/>
          <w:kern w:val="2"/>
          <w:sz w:val="24"/>
          <w:szCs w:val="24"/>
        </w:rPr>
        <w:t>described as following:</w:t>
      </w:r>
      <w:r>
        <w:rPr>
          <w:rFonts w:ascii="TimesNewRoman" w:hAnsi="TimesNewRoman" w:cs="TimesNewRoman" w:hint="eastAsia"/>
          <w:kern w:val="2"/>
          <w:sz w:val="24"/>
          <w:szCs w:val="24"/>
        </w:rPr>
        <w:t xml:space="preserve"> </w:t>
      </w:r>
      <w:r w:rsidRPr="00CF58F4">
        <w:rPr>
          <w:rFonts w:ascii="TimesNewRoman" w:eastAsia="Times New Roman" w:hAnsi="TimesNewRoman" w:cs="TimesNewRoman"/>
          <w:i/>
          <w:iCs/>
          <w:kern w:val="2"/>
          <w:sz w:val="24"/>
          <w:szCs w:val="24"/>
        </w:rPr>
        <w:t xml:space="preserve">k= w </w:t>
      </w:r>
      <w:r>
        <w:rPr>
          <w:rFonts w:ascii="TimesNewRoman" w:eastAsia="Times New Roman" w:hAnsi="TimesNewRoman" w:cs="TimesNewRoman"/>
          <w:i/>
          <w:iCs/>
          <w:kern w:val="2"/>
          <w:sz w:val="24"/>
          <w:szCs w:val="24"/>
        </w:rPr>
        <w:t>[</w:t>
      </w:r>
      <w:r w:rsidRPr="00CF58F4">
        <w:rPr>
          <w:rFonts w:ascii="TimesNewRoman" w:eastAsia="Times New Roman" w:hAnsi="TimesNewRoman" w:cs="TimesNewRoman"/>
          <w:i/>
          <w:iCs/>
          <w:kern w:val="2"/>
          <w:sz w:val="24"/>
          <w:szCs w:val="24"/>
        </w:rPr>
        <w:t>CaO</w:t>
      </w:r>
      <w:r>
        <w:rPr>
          <w:rFonts w:ascii="TimesNewRoman" w:eastAsia="Times New Roman" w:hAnsi="TimesNewRoman" w:cs="TimesNewRoman"/>
          <w:i/>
          <w:iCs/>
          <w:kern w:val="2"/>
          <w:sz w:val="24"/>
          <w:szCs w:val="24"/>
        </w:rPr>
        <w:t>]</w:t>
      </w:r>
      <w:r w:rsidRPr="00CF58F4">
        <w:rPr>
          <w:rFonts w:ascii="TimesNewRoman" w:eastAsia="Times New Roman" w:hAnsi="TimesNewRoman" w:cs="TimesNewRoman"/>
          <w:i/>
          <w:iCs/>
          <w:kern w:val="2"/>
          <w:sz w:val="24"/>
          <w:szCs w:val="24"/>
        </w:rPr>
        <w:t>/</w:t>
      </w:r>
      <w:r>
        <w:rPr>
          <w:rFonts w:ascii="TimesNewRoman" w:eastAsia="Times New Roman" w:hAnsi="TimesNewRoman" w:cs="TimesNewRoman"/>
          <w:i/>
          <w:iCs/>
          <w:kern w:val="2"/>
          <w:sz w:val="24"/>
          <w:szCs w:val="24"/>
        </w:rPr>
        <w:t xml:space="preserve"> </w:t>
      </w:r>
      <w:r w:rsidRPr="00CF58F4">
        <w:rPr>
          <w:rFonts w:ascii="TimesNewRoman" w:eastAsia="Times New Roman" w:hAnsi="TimesNewRoman" w:cs="TimesNewRoman"/>
          <w:i/>
          <w:iCs/>
          <w:kern w:val="2"/>
          <w:sz w:val="24"/>
          <w:szCs w:val="24"/>
        </w:rPr>
        <w:t>[w</w:t>
      </w:r>
      <w:r>
        <w:rPr>
          <w:rFonts w:ascii="TimesNewRoman" w:eastAsia="Times New Roman" w:hAnsi="TimesNewRoman" w:cs="TimesNewRoman"/>
          <w:i/>
          <w:iCs/>
          <w:kern w:val="2"/>
          <w:sz w:val="24"/>
          <w:szCs w:val="24"/>
        </w:rPr>
        <w:t xml:space="preserve"> (</w:t>
      </w:r>
      <w:r w:rsidRPr="00CF58F4">
        <w:rPr>
          <w:rFonts w:ascii="TimesNewRoman" w:eastAsia="Times New Roman" w:hAnsi="TimesNewRoman" w:cs="TimesNewRoman"/>
          <w:i/>
          <w:iCs/>
          <w:kern w:val="2"/>
          <w:sz w:val="24"/>
          <w:szCs w:val="24"/>
        </w:rPr>
        <w:t>SiO</w:t>
      </w:r>
      <w:r w:rsidRPr="00CF58F4">
        <w:rPr>
          <w:rFonts w:ascii="TimesNewRoman" w:eastAsia="Times New Roman" w:hAnsi="TimesNewRoman" w:cs="TimesNewRoman"/>
          <w:i/>
          <w:iCs/>
          <w:kern w:val="2"/>
          <w:sz w:val="24"/>
          <w:szCs w:val="24"/>
          <w:vertAlign w:val="subscript"/>
        </w:rPr>
        <w:t>2</w:t>
      </w:r>
      <w:r>
        <w:rPr>
          <w:rFonts w:ascii="TimesNewRoman" w:eastAsia="Times New Roman" w:hAnsi="TimesNewRoman" w:cs="TimesNewRoman"/>
          <w:i/>
          <w:iCs/>
          <w:kern w:val="2"/>
          <w:sz w:val="24"/>
          <w:szCs w:val="24"/>
        </w:rPr>
        <w:t xml:space="preserve">) </w:t>
      </w:r>
      <w:r w:rsidRPr="00CF58F4">
        <w:rPr>
          <w:rFonts w:ascii="TimesNewRoman" w:eastAsia="Times New Roman" w:hAnsi="TimesNewRoman" w:cs="TimesNewRoman"/>
          <w:i/>
          <w:iCs/>
          <w:kern w:val="2"/>
          <w:sz w:val="24"/>
          <w:szCs w:val="24"/>
        </w:rPr>
        <w:t>+w</w:t>
      </w:r>
      <w:r>
        <w:rPr>
          <w:rFonts w:ascii="TimesNewRoman" w:eastAsia="Times New Roman" w:hAnsi="TimesNewRoman" w:cs="TimesNewRoman"/>
          <w:i/>
          <w:iCs/>
          <w:kern w:val="2"/>
          <w:sz w:val="24"/>
          <w:szCs w:val="24"/>
        </w:rPr>
        <w:t xml:space="preserve"> (</w:t>
      </w:r>
      <w:r w:rsidRPr="00CF58F4">
        <w:rPr>
          <w:rFonts w:ascii="TimesNewRoman" w:eastAsia="Times New Roman" w:hAnsi="TimesNewRoman" w:cs="TimesNewRoman"/>
          <w:i/>
          <w:iCs/>
          <w:kern w:val="2"/>
          <w:sz w:val="24"/>
          <w:szCs w:val="24"/>
        </w:rPr>
        <w:t>P</w:t>
      </w:r>
      <w:r w:rsidRPr="00CF58F4">
        <w:rPr>
          <w:rFonts w:ascii="TimesNewRoman" w:eastAsia="Times New Roman" w:hAnsi="TimesNewRoman" w:cs="TimesNewRoman"/>
          <w:i/>
          <w:iCs/>
          <w:kern w:val="2"/>
          <w:sz w:val="24"/>
          <w:szCs w:val="24"/>
          <w:vertAlign w:val="subscript"/>
        </w:rPr>
        <w:t>2</w:t>
      </w:r>
      <w:r w:rsidRPr="00CF58F4">
        <w:rPr>
          <w:rFonts w:ascii="TimesNewRoman" w:eastAsia="Times New Roman" w:hAnsi="TimesNewRoman" w:cs="TimesNewRoman"/>
          <w:i/>
          <w:iCs/>
          <w:kern w:val="2"/>
          <w:sz w:val="24"/>
          <w:szCs w:val="24"/>
        </w:rPr>
        <w:t>O</w:t>
      </w:r>
      <w:r w:rsidRPr="00CF58F4">
        <w:rPr>
          <w:rFonts w:ascii="TimesNewRoman" w:eastAsia="Times New Roman" w:hAnsi="TimesNewRoman" w:cs="TimesNewRoman"/>
          <w:i/>
          <w:iCs/>
          <w:kern w:val="2"/>
          <w:sz w:val="24"/>
          <w:szCs w:val="24"/>
          <w:vertAlign w:val="subscript"/>
        </w:rPr>
        <w:t>5</w:t>
      </w:r>
      <w:r>
        <w:rPr>
          <w:rFonts w:ascii="TimesNewRoman" w:eastAsia="Times New Roman" w:hAnsi="TimesNewRoman" w:cs="TimesNewRoman"/>
          <w:i/>
          <w:iCs/>
          <w:kern w:val="2"/>
          <w:sz w:val="24"/>
          <w:szCs w:val="24"/>
        </w:rPr>
        <w:t>)</w:t>
      </w:r>
      <w:r w:rsidRPr="00CF58F4">
        <w:rPr>
          <w:rFonts w:ascii="TimesNewRoman" w:eastAsia="Times New Roman" w:hAnsi="TimesNewRoman" w:cs="TimesNewRoman"/>
          <w:i/>
          <w:iCs/>
          <w:kern w:val="2"/>
          <w:sz w:val="24"/>
          <w:szCs w:val="24"/>
        </w:rPr>
        <w:t>]</w:t>
      </w:r>
      <w:r w:rsidRPr="00A57573">
        <w:rPr>
          <w:rFonts w:ascii="TimesNewRoman" w:eastAsia="Times New Roman" w:hAnsi="TimesNewRoman" w:cs="TimesNewRoman"/>
          <w:kern w:val="2"/>
          <w:sz w:val="24"/>
          <w:szCs w:val="24"/>
        </w:rPr>
        <w:t xml:space="preserve">. </w:t>
      </w:r>
      <w:r>
        <w:rPr>
          <w:rFonts w:ascii="TimesNewRoman" w:eastAsia="Times New Roman" w:hAnsi="TimesNewRoman" w:cs="TimesNewRoman"/>
          <w:kern w:val="2"/>
          <w:sz w:val="24"/>
          <w:szCs w:val="24"/>
        </w:rPr>
        <w:t>According to the alkalinity values, a</w:t>
      </w:r>
      <w:r w:rsidRPr="00A57573">
        <w:rPr>
          <w:rFonts w:ascii="TimesNewRoman" w:eastAsia="Times New Roman" w:hAnsi="TimesNewRoman" w:cs="TimesNewRoman"/>
          <w:kern w:val="2"/>
          <w:sz w:val="24"/>
          <w:szCs w:val="24"/>
        </w:rPr>
        <w:t xml:space="preserve">lthough </w:t>
      </w:r>
      <w:r>
        <w:rPr>
          <w:rFonts w:ascii="TimesNewRoman" w:eastAsia="Times New Roman" w:hAnsi="TimesNewRoman" w:cs="TimesNewRoman"/>
          <w:kern w:val="2"/>
          <w:sz w:val="24"/>
          <w:szCs w:val="24"/>
        </w:rPr>
        <w:t>both CS and SS are alkaline materials, CS is considered more alkaline and hence expected to be more active than SS.</w:t>
      </w:r>
      <w:r w:rsidRPr="00A57573">
        <w:rPr>
          <w:rFonts w:ascii="Times New Roman" w:hAnsi="Times New Roman" w:cs="Times New Roman"/>
          <w:sz w:val="24"/>
          <w:szCs w:val="24"/>
        </w:rPr>
        <w:t xml:space="preserve"> </w:t>
      </w:r>
      <w:r>
        <w:rPr>
          <w:rFonts w:ascii="Times New Roman" w:hAnsi="Times New Roman" w:cs="Times New Roman"/>
          <w:sz w:val="24"/>
          <w:szCs w:val="24"/>
        </w:rPr>
        <w:t>The major differences between these two materials were the contents of SiO</w:t>
      </w:r>
      <w:r>
        <w:rPr>
          <w:rFonts w:ascii="Times New Roman" w:hAnsi="Times New Roman" w:cs="Times New Roman"/>
          <w:sz w:val="16"/>
          <w:szCs w:val="16"/>
        </w:rPr>
        <w:t>2</w:t>
      </w:r>
      <w:r>
        <w:rPr>
          <w:rFonts w:ascii="Times New Roman" w:hAnsi="Times New Roman" w:cs="Times New Roman"/>
          <w:sz w:val="24"/>
          <w:szCs w:val="24"/>
        </w:rPr>
        <w:t xml:space="preserve"> and Fe</w:t>
      </w:r>
      <w:r>
        <w:rPr>
          <w:rFonts w:ascii="Times New Roman" w:hAnsi="Times New Roman" w:cs="Times New Roman"/>
          <w:sz w:val="16"/>
          <w:szCs w:val="16"/>
        </w:rPr>
        <w:t>2</w:t>
      </w:r>
      <w:r>
        <w:rPr>
          <w:rFonts w:ascii="Times New Roman" w:hAnsi="Times New Roman" w:cs="Times New Roman"/>
          <w:sz w:val="24"/>
          <w:szCs w:val="24"/>
        </w:rPr>
        <w:t>O</w:t>
      </w:r>
      <w:r>
        <w:rPr>
          <w:rFonts w:ascii="Times New Roman" w:hAnsi="Times New Roman" w:cs="Times New Roman"/>
          <w:sz w:val="16"/>
          <w:szCs w:val="16"/>
        </w:rPr>
        <w:t>3</w:t>
      </w:r>
      <w:r>
        <w:rPr>
          <w:rFonts w:ascii="Times New Roman" w:hAnsi="Times New Roman" w:cs="Times New Roman"/>
          <w:sz w:val="24"/>
          <w:szCs w:val="24"/>
        </w:rPr>
        <w:t>. The SiO</w:t>
      </w:r>
      <w:r>
        <w:rPr>
          <w:rFonts w:ascii="Times New Roman" w:hAnsi="Times New Roman" w:cs="Times New Roman"/>
          <w:sz w:val="16"/>
          <w:szCs w:val="16"/>
        </w:rPr>
        <w:t xml:space="preserve">2 </w:t>
      </w:r>
      <w:r>
        <w:rPr>
          <w:rFonts w:ascii="Times New Roman" w:hAnsi="Times New Roman" w:cs="Times New Roman"/>
          <w:sz w:val="24"/>
          <w:szCs w:val="24"/>
        </w:rPr>
        <w:t>content of SS is two times higher than that of CS. This may be due to the addition of Si to the melt during production process of stainless steel to protect Cr from oxidization. Fe</w:t>
      </w:r>
      <w:r>
        <w:rPr>
          <w:rFonts w:ascii="Times New Roman" w:hAnsi="Times New Roman" w:cs="Times New Roman"/>
          <w:sz w:val="16"/>
          <w:szCs w:val="16"/>
        </w:rPr>
        <w:t>2</w:t>
      </w:r>
      <w:r>
        <w:rPr>
          <w:rFonts w:ascii="Times New Roman" w:hAnsi="Times New Roman" w:cs="Times New Roman"/>
          <w:sz w:val="24"/>
          <w:szCs w:val="24"/>
        </w:rPr>
        <w:t>O</w:t>
      </w:r>
      <w:r>
        <w:rPr>
          <w:rFonts w:ascii="Times New Roman" w:hAnsi="Times New Roman" w:cs="Times New Roman"/>
          <w:sz w:val="16"/>
          <w:szCs w:val="16"/>
        </w:rPr>
        <w:t xml:space="preserve">3 </w:t>
      </w:r>
      <w:r>
        <w:rPr>
          <w:rFonts w:ascii="Times New Roman" w:hAnsi="Times New Roman" w:cs="Times New Roman"/>
          <w:sz w:val="24"/>
          <w:szCs w:val="24"/>
        </w:rPr>
        <w:t>content on the other hand is three times lower in SS than in CS sample. Furthermore, SS is characterized by the inclusion of some non-ferrous metal elements as Cr (0.95%).</w:t>
      </w:r>
      <w:r w:rsidRPr="00A77C61">
        <w:rPr>
          <w:rFonts w:ascii="AdvGulliv-R" w:hAnsi="AdvGulliv-R" w:cs="AdvGulliv-R"/>
          <w:color w:val="000000"/>
          <w:sz w:val="16"/>
          <w:szCs w:val="16"/>
        </w:rPr>
        <w:t xml:space="preserve"> </w:t>
      </w:r>
      <w:r>
        <w:rPr>
          <w:rFonts w:ascii="AdvGulliv-R" w:hAnsi="AdvGulliv-R" w:cs="AdvGulliv-R"/>
          <w:color w:val="000000"/>
          <w:sz w:val="16"/>
          <w:szCs w:val="16"/>
        </w:rPr>
        <w:t xml:space="preserve"> </w:t>
      </w:r>
      <w:r>
        <w:rPr>
          <w:rFonts w:ascii="Times New Roman" w:hAnsi="Times New Roman" w:cs="Times New Roman"/>
          <w:sz w:val="24"/>
          <w:szCs w:val="24"/>
        </w:rPr>
        <w:t xml:space="preserve">XRD </w:t>
      </w:r>
      <w:r w:rsidRPr="00C20E74">
        <w:rPr>
          <w:rFonts w:ascii="Times New Roman" w:hAnsi="Times New Roman" w:cs="Times New Roman"/>
          <w:sz w:val="24"/>
          <w:szCs w:val="24"/>
        </w:rPr>
        <w:t xml:space="preserve">phase composition of the slags </w:t>
      </w:r>
      <w:r>
        <w:rPr>
          <w:rFonts w:ascii="Times New Roman" w:hAnsi="Times New Roman" w:cs="Times New Roman"/>
          <w:sz w:val="24"/>
          <w:szCs w:val="24"/>
        </w:rPr>
        <w:t>samples is presented in figure</w:t>
      </w:r>
      <w:r w:rsidRPr="00C20E74">
        <w:rPr>
          <w:rFonts w:ascii="Times New Roman" w:hAnsi="Times New Roman" w:cs="Times New Roman"/>
          <w:sz w:val="24"/>
          <w:szCs w:val="24"/>
        </w:rPr>
        <w:t xml:space="preserve"> 1</w:t>
      </w:r>
      <w:r w:rsidR="00F42D6D">
        <w:rPr>
          <w:rFonts w:ascii="Times New Roman" w:hAnsi="Times New Roman" w:cs="Times New Roman"/>
          <w:sz w:val="24"/>
          <w:szCs w:val="24"/>
        </w:rPr>
        <w:t>(</w:t>
      </w:r>
      <w:r w:rsidR="00B453D4">
        <w:rPr>
          <w:rFonts w:ascii="Times New Roman" w:hAnsi="Times New Roman" w:cs="Times New Roman"/>
          <w:sz w:val="24"/>
          <w:szCs w:val="24"/>
        </w:rPr>
        <w:t>In the manuscript)</w:t>
      </w:r>
      <w:r w:rsidRPr="00C20E74">
        <w:rPr>
          <w:rFonts w:ascii="Times New Roman" w:hAnsi="Times New Roman" w:cs="Times New Roman"/>
          <w:sz w:val="24"/>
          <w:szCs w:val="24"/>
        </w:rPr>
        <w:t xml:space="preserve">.  </w:t>
      </w:r>
      <w:r>
        <w:rPr>
          <w:rFonts w:ascii="Times New Roman" w:hAnsi="Times New Roman" w:cs="Times New Roman"/>
          <w:sz w:val="24"/>
          <w:szCs w:val="24"/>
        </w:rPr>
        <w:t>Both types of slag contain RO phase (CaO-</w:t>
      </w:r>
      <w:r>
        <w:rPr>
          <w:rFonts w:ascii="AdvGulliv-R" w:hAnsi="AdvGulliv-R" w:cs="AdvGulliv-R"/>
          <w:color w:val="000000"/>
          <w:sz w:val="16"/>
          <w:szCs w:val="16"/>
        </w:rPr>
        <w:t xml:space="preserve"> </w:t>
      </w:r>
      <w:proofErr w:type="spellStart"/>
      <w:r>
        <w:rPr>
          <w:rFonts w:ascii="Times New Roman" w:hAnsi="Times New Roman" w:cs="Times New Roman"/>
          <w:sz w:val="24"/>
          <w:szCs w:val="24"/>
        </w:rPr>
        <w:t>FeO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MgO</w:t>
      </w:r>
      <w:proofErr w:type="spellEnd"/>
      <w:r>
        <w:rPr>
          <w:rFonts w:ascii="Times New Roman" w:hAnsi="Times New Roman" w:cs="Times New Roman"/>
          <w:sz w:val="24"/>
          <w:szCs w:val="24"/>
        </w:rPr>
        <w:t xml:space="preserve"> solid solution). However, t</w:t>
      </w:r>
      <w:r w:rsidRPr="00C20E74">
        <w:rPr>
          <w:rFonts w:ascii="Times New Roman" w:hAnsi="Times New Roman" w:cs="Times New Roman"/>
          <w:sz w:val="24"/>
          <w:szCs w:val="24"/>
        </w:rPr>
        <w:t>he major difference of the</w:t>
      </w:r>
      <w:r>
        <w:rPr>
          <w:rFonts w:ascii="Times New Roman" w:hAnsi="Times New Roman" w:cs="Times New Roman"/>
          <w:sz w:val="24"/>
          <w:szCs w:val="24"/>
        </w:rPr>
        <w:t xml:space="preserve"> </w:t>
      </w:r>
      <w:r w:rsidRPr="00C20E74">
        <w:rPr>
          <w:rFonts w:ascii="Times New Roman" w:hAnsi="Times New Roman" w:cs="Times New Roman"/>
          <w:sz w:val="24"/>
          <w:szCs w:val="24"/>
        </w:rPr>
        <w:t xml:space="preserve">mineralogical composition between </w:t>
      </w:r>
      <w:r>
        <w:rPr>
          <w:rFonts w:ascii="Times New Roman" w:hAnsi="Times New Roman" w:cs="Times New Roman"/>
          <w:sz w:val="24"/>
          <w:szCs w:val="24"/>
        </w:rPr>
        <w:t xml:space="preserve">the two types of slag </w:t>
      </w:r>
      <w:r w:rsidRPr="00C20E74">
        <w:rPr>
          <w:rFonts w:ascii="Times New Roman" w:hAnsi="Times New Roman" w:cs="Times New Roman"/>
          <w:sz w:val="24"/>
          <w:szCs w:val="24"/>
        </w:rPr>
        <w:t xml:space="preserve">is that CS </w:t>
      </w:r>
      <w:r>
        <w:rPr>
          <w:rFonts w:ascii="Times New Roman" w:hAnsi="Times New Roman" w:cs="Times New Roman"/>
          <w:sz w:val="24"/>
          <w:szCs w:val="24"/>
        </w:rPr>
        <w:t>is characterized</w:t>
      </w:r>
      <w:r w:rsidRPr="00C20E74">
        <w:rPr>
          <w:rFonts w:ascii="Times New Roman" w:hAnsi="Times New Roman" w:cs="Times New Roman"/>
          <w:sz w:val="24"/>
          <w:szCs w:val="24"/>
        </w:rPr>
        <w:t xml:space="preserve"> by the inclusion of hydraulic phases such as </w:t>
      </w:r>
      <w:bookmarkStart w:id="0" w:name="_GoBack"/>
      <w:bookmarkEnd w:id="0"/>
      <w:r w:rsidRPr="00C20E74">
        <w:rPr>
          <w:rFonts w:ascii="Times New Roman" w:hAnsi="Times New Roman" w:cs="Times New Roman"/>
          <w:sz w:val="24"/>
          <w:szCs w:val="24"/>
        </w:rPr>
        <w:t>C</w:t>
      </w:r>
      <w:r w:rsidRPr="00864AF5">
        <w:rPr>
          <w:rFonts w:ascii="Times New Roman" w:hAnsi="Times New Roman" w:cs="Times New Roman"/>
          <w:sz w:val="24"/>
          <w:szCs w:val="24"/>
          <w:vertAlign w:val="subscript"/>
        </w:rPr>
        <w:t>3</w:t>
      </w:r>
      <w:r w:rsidRPr="00C20E74">
        <w:rPr>
          <w:rFonts w:ascii="Times New Roman" w:hAnsi="Times New Roman" w:cs="Times New Roman"/>
          <w:sz w:val="24"/>
          <w:szCs w:val="24"/>
        </w:rPr>
        <w:t>S,</w:t>
      </w:r>
      <w:r>
        <w:rPr>
          <w:rFonts w:ascii="Times New Roman" w:hAnsi="Times New Roman" w:cs="Times New Roman"/>
          <w:sz w:val="24"/>
          <w:szCs w:val="24"/>
        </w:rPr>
        <w:t xml:space="preserve"> C</w:t>
      </w:r>
      <w:r w:rsidRPr="00864AF5">
        <w:rPr>
          <w:rFonts w:ascii="Times New Roman" w:hAnsi="Times New Roman" w:cs="Times New Roman"/>
          <w:sz w:val="24"/>
          <w:szCs w:val="24"/>
          <w:vertAlign w:val="subscript"/>
        </w:rPr>
        <w:t>2</w:t>
      </w:r>
      <w:r>
        <w:rPr>
          <w:rFonts w:ascii="Times New Roman" w:hAnsi="Times New Roman" w:cs="Times New Roman"/>
          <w:sz w:val="24"/>
          <w:szCs w:val="24"/>
        </w:rPr>
        <w:t>S, Ca</w:t>
      </w:r>
      <w:r w:rsidRPr="00CD239E">
        <w:rPr>
          <w:rFonts w:ascii="Times New Roman" w:hAnsi="Times New Roman" w:cs="Times New Roman"/>
          <w:sz w:val="24"/>
          <w:szCs w:val="24"/>
          <w:vertAlign w:val="subscript"/>
        </w:rPr>
        <w:t>2</w:t>
      </w:r>
      <w:r>
        <w:rPr>
          <w:rFonts w:ascii="Times New Roman" w:hAnsi="Times New Roman" w:cs="Times New Roman"/>
          <w:sz w:val="24"/>
          <w:szCs w:val="24"/>
        </w:rPr>
        <w:t>Al</w:t>
      </w:r>
      <w:r w:rsidRPr="00CD239E">
        <w:rPr>
          <w:rFonts w:ascii="Times New Roman" w:hAnsi="Times New Roman" w:cs="Times New Roman"/>
          <w:sz w:val="24"/>
          <w:szCs w:val="24"/>
          <w:vertAlign w:val="subscript"/>
        </w:rPr>
        <w:t>2</w:t>
      </w:r>
      <w:r>
        <w:rPr>
          <w:rFonts w:ascii="Times New Roman" w:hAnsi="Times New Roman" w:cs="Times New Roman"/>
          <w:sz w:val="24"/>
          <w:szCs w:val="24"/>
        </w:rPr>
        <w:t>SiO</w:t>
      </w:r>
      <w:r w:rsidRPr="00CD239E">
        <w:rPr>
          <w:rFonts w:ascii="Times New Roman" w:hAnsi="Times New Roman" w:cs="Times New Roman"/>
          <w:sz w:val="24"/>
          <w:szCs w:val="24"/>
          <w:vertAlign w:val="subscript"/>
        </w:rPr>
        <w:t>7</w:t>
      </w:r>
      <w:r>
        <w:rPr>
          <w:rFonts w:ascii="Times New Roman" w:hAnsi="Times New Roman" w:cs="Times New Roman"/>
          <w:sz w:val="24"/>
          <w:szCs w:val="24"/>
        </w:rPr>
        <w:t xml:space="preserve">, </w:t>
      </w:r>
      <w:r w:rsidRPr="00C20E74">
        <w:rPr>
          <w:rFonts w:ascii="Times New Roman" w:hAnsi="Times New Roman" w:cs="Times New Roman"/>
          <w:sz w:val="24"/>
          <w:szCs w:val="24"/>
        </w:rPr>
        <w:t>C</w:t>
      </w:r>
      <w:r w:rsidRPr="00864AF5">
        <w:rPr>
          <w:rFonts w:ascii="Times New Roman" w:hAnsi="Times New Roman" w:cs="Times New Roman"/>
          <w:sz w:val="24"/>
          <w:szCs w:val="24"/>
          <w:vertAlign w:val="subscript"/>
        </w:rPr>
        <w:t>12</w:t>
      </w:r>
      <w:r w:rsidRPr="00C20E74">
        <w:rPr>
          <w:rFonts w:ascii="Times New Roman" w:hAnsi="Times New Roman" w:cs="Times New Roman"/>
          <w:sz w:val="24"/>
          <w:szCs w:val="24"/>
        </w:rPr>
        <w:t>A</w:t>
      </w:r>
      <w:r w:rsidRPr="00653A21">
        <w:rPr>
          <w:rFonts w:ascii="Times New Roman" w:hAnsi="Times New Roman" w:cs="Times New Roman"/>
          <w:sz w:val="24"/>
          <w:szCs w:val="24"/>
          <w:vertAlign w:val="subscript"/>
        </w:rPr>
        <w:t>7</w:t>
      </w:r>
      <w:r>
        <w:rPr>
          <w:rFonts w:ascii="Times New Roman" w:hAnsi="Times New Roman" w:cs="Times New Roman"/>
          <w:sz w:val="24"/>
          <w:szCs w:val="24"/>
          <w:vertAlign w:val="subscript"/>
        </w:rPr>
        <w:t xml:space="preserve"> </w:t>
      </w:r>
      <w:r>
        <w:rPr>
          <w:rFonts w:ascii="Times New Roman" w:hAnsi="Times New Roman" w:cs="Times New Roman"/>
          <w:sz w:val="24"/>
          <w:szCs w:val="24"/>
        </w:rPr>
        <w:t>and Al</w:t>
      </w:r>
      <w:r w:rsidRPr="00CE69F4">
        <w:rPr>
          <w:rFonts w:ascii="Times New Roman" w:hAnsi="Times New Roman" w:cs="Times New Roman"/>
          <w:sz w:val="24"/>
          <w:szCs w:val="24"/>
          <w:vertAlign w:val="subscript"/>
        </w:rPr>
        <w:t>2</w:t>
      </w:r>
      <w:r>
        <w:rPr>
          <w:rFonts w:ascii="Times New Roman" w:hAnsi="Times New Roman" w:cs="Times New Roman"/>
          <w:sz w:val="24"/>
          <w:szCs w:val="24"/>
        </w:rPr>
        <w:t>O</w:t>
      </w:r>
      <w:r w:rsidRPr="00CE69F4">
        <w:rPr>
          <w:rFonts w:ascii="Times New Roman" w:hAnsi="Times New Roman" w:cs="Times New Roman"/>
          <w:sz w:val="24"/>
          <w:szCs w:val="24"/>
          <w:vertAlign w:val="subscript"/>
        </w:rPr>
        <w:t>3</w:t>
      </w:r>
      <w:r w:rsidRPr="00C20E74">
        <w:rPr>
          <w:rFonts w:ascii="Times New Roman" w:hAnsi="Times New Roman" w:cs="Times New Roman"/>
          <w:sz w:val="24"/>
          <w:szCs w:val="24"/>
        </w:rPr>
        <w:t xml:space="preserve">, while </w:t>
      </w:r>
      <w:r>
        <w:rPr>
          <w:rFonts w:ascii="Times New Roman" w:hAnsi="Times New Roman" w:cs="Times New Roman"/>
          <w:sz w:val="24"/>
          <w:szCs w:val="24"/>
        </w:rPr>
        <w:t xml:space="preserve">for </w:t>
      </w:r>
      <w:proofErr w:type="gramStart"/>
      <w:r w:rsidRPr="00C20E74">
        <w:rPr>
          <w:rFonts w:ascii="Times New Roman" w:hAnsi="Times New Roman" w:cs="Times New Roman"/>
          <w:sz w:val="24"/>
          <w:szCs w:val="24"/>
        </w:rPr>
        <w:t>SS</w:t>
      </w:r>
      <w:r>
        <w:rPr>
          <w:rFonts w:ascii="Times New Roman" w:hAnsi="Times New Roman" w:cs="Times New Roman"/>
          <w:sz w:val="24"/>
          <w:szCs w:val="24"/>
        </w:rPr>
        <w:t>,</w:t>
      </w:r>
      <w:proofErr w:type="gramEnd"/>
      <w:r>
        <w:rPr>
          <w:rFonts w:ascii="Times New Roman" w:hAnsi="Times New Roman" w:cs="Times New Roman"/>
          <w:sz w:val="24"/>
          <w:szCs w:val="24"/>
        </w:rPr>
        <w:t xml:space="preserve"> the phases corresponding to β-C</w:t>
      </w:r>
      <w:r w:rsidRPr="00653A21">
        <w:rPr>
          <w:rFonts w:ascii="Times New Roman" w:hAnsi="Times New Roman" w:cs="Times New Roman"/>
          <w:sz w:val="24"/>
          <w:szCs w:val="24"/>
          <w:vertAlign w:val="subscript"/>
        </w:rPr>
        <w:t>2</w:t>
      </w:r>
      <w:r>
        <w:rPr>
          <w:rFonts w:ascii="Times New Roman" w:hAnsi="Times New Roman" w:cs="Times New Roman"/>
          <w:sz w:val="24"/>
          <w:szCs w:val="24"/>
        </w:rPr>
        <w:t>S are the only phases which is considered to exhibit cementitious properties</w:t>
      </w:r>
      <w:r w:rsidRPr="00C20E74">
        <w:rPr>
          <w:rFonts w:ascii="Times New Roman" w:hAnsi="Times New Roman" w:cs="Times New Roman"/>
          <w:sz w:val="24"/>
          <w:szCs w:val="24"/>
        </w:rPr>
        <w:t xml:space="preserve">.  </w:t>
      </w:r>
    </w:p>
    <w:p w:rsidR="00707A68" w:rsidRPr="00391E1C" w:rsidRDefault="00707A68" w:rsidP="00707A68">
      <w:pPr>
        <w:shd w:val="clear" w:color="auto" w:fill="FFFFFF"/>
        <w:spacing w:before="100" w:beforeAutospacing="1" w:after="135"/>
        <w:ind w:left="630"/>
        <w:jc w:val="both"/>
        <w:rPr>
          <w:rFonts w:ascii="Times New Roman" w:hAnsi="Times New Roman" w:cs="Times New Roman"/>
          <w:sz w:val="24"/>
          <w:szCs w:val="24"/>
        </w:rPr>
      </w:pPr>
      <w:r>
        <w:rPr>
          <w:rFonts w:asciiTheme="majorBidi" w:hAnsiTheme="majorBidi" w:cstheme="majorBidi"/>
          <w:sz w:val="24"/>
          <w:szCs w:val="24"/>
        </w:rPr>
        <w:t>Table</w:t>
      </w:r>
      <w:r>
        <w:rPr>
          <w:rFonts w:asciiTheme="majorBidi" w:hAnsiTheme="majorBidi" w:cstheme="majorBidi"/>
          <w:sz w:val="24"/>
          <w:szCs w:val="24"/>
        </w:rPr>
        <w:t>1</w:t>
      </w:r>
      <w:r w:rsidRPr="00412C4F">
        <w:rPr>
          <w:rFonts w:asciiTheme="majorBidi" w:hAnsiTheme="majorBidi" w:cstheme="majorBidi"/>
          <w:sz w:val="24"/>
          <w:szCs w:val="24"/>
        </w:rPr>
        <w:t>. The chemical composition of CS and SS</w:t>
      </w:r>
    </w:p>
    <w:tbl>
      <w:tblPr>
        <w:tblStyle w:val="TableGrid"/>
        <w:tblpPr w:leftFromText="180" w:rightFromText="180" w:vertAnchor="text" w:horzAnchor="page" w:tblpX="1" w:tblpY="440"/>
        <w:tblW w:w="14175" w:type="dxa"/>
        <w:tblLayout w:type="fixed"/>
        <w:tblLook w:val="04A0" w:firstRow="1" w:lastRow="0" w:firstColumn="1" w:lastColumn="0" w:noHBand="0" w:noVBand="1"/>
      </w:tblPr>
      <w:tblGrid>
        <w:gridCol w:w="1656"/>
        <w:gridCol w:w="690"/>
        <w:gridCol w:w="690"/>
        <w:gridCol w:w="690"/>
        <w:gridCol w:w="775"/>
        <w:gridCol w:w="775"/>
        <w:gridCol w:w="690"/>
        <w:gridCol w:w="690"/>
        <w:gridCol w:w="690"/>
        <w:gridCol w:w="775"/>
        <w:gridCol w:w="816"/>
        <w:gridCol w:w="743"/>
        <w:gridCol w:w="837"/>
        <w:gridCol w:w="837"/>
        <w:gridCol w:w="1084"/>
        <w:gridCol w:w="1737"/>
      </w:tblGrid>
      <w:tr w:rsidR="00707A68" w:rsidRPr="00305495" w:rsidTr="00707A68">
        <w:trPr>
          <w:trHeight w:val="658"/>
        </w:trPr>
        <w:tc>
          <w:tcPr>
            <w:tcW w:w="1656" w:type="dxa"/>
            <w:tcBorders>
              <w:left w:val="nil"/>
              <w:bottom w:val="single" w:sz="4" w:space="0" w:color="000000" w:themeColor="text1"/>
              <w:right w:val="nil"/>
            </w:tcBorders>
            <w:vAlign w:val="center"/>
          </w:tcPr>
          <w:p w:rsidR="00707A68" w:rsidRPr="00157ABD" w:rsidRDefault="00707A68" w:rsidP="00707A68">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157ABD">
              <w:rPr>
                <w:rFonts w:ascii="Times New Roman" w:hAnsi="Times New Roman" w:cs="Times New Roman"/>
                <w:color w:val="000000"/>
                <w:sz w:val="20"/>
                <w:szCs w:val="20"/>
                <w:shd w:val="clear" w:color="auto" w:fill="FFFFFF"/>
              </w:rPr>
              <w:t>Type</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SiO</w:t>
            </w:r>
            <w:r w:rsidRPr="00305495">
              <w:rPr>
                <w:rFonts w:ascii="Times New Roman" w:hAnsi="Times New Roman" w:cs="Times New Roman"/>
                <w:color w:val="000000"/>
                <w:sz w:val="20"/>
                <w:szCs w:val="20"/>
                <w:shd w:val="clear" w:color="auto" w:fill="FFFFFF"/>
                <w:vertAlign w:val="subscript"/>
              </w:rPr>
              <w:t>2</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CaO</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p>
          <w:p w:rsidR="00707A68" w:rsidRPr="00305495" w:rsidRDefault="00707A68" w:rsidP="00707A68">
            <w:pPr>
              <w:jc w:val="center"/>
              <w:rPr>
                <w:rFonts w:ascii="Times New Roman" w:hAnsi="Times New Roman" w:cs="Times New Roman"/>
                <w:color w:val="000000"/>
                <w:sz w:val="20"/>
                <w:szCs w:val="20"/>
                <w:shd w:val="clear" w:color="auto" w:fill="FFFFFF"/>
              </w:rPr>
            </w:pPr>
            <w:proofErr w:type="spellStart"/>
            <w:r w:rsidRPr="00305495">
              <w:rPr>
                <w:rFonts w:ascii="Times New Roman" w:hAnsi="Times New Roman" w:cs="Times New Roman"/>
                <w:color w:val="000000"/>
                <w:sz w:val="20"/>
                <w:szCs w:val="20"/>
                <w:shd w:val="clear" w:color="auto" w:fill="FFFFFF"/>
              </w:rPr>
              <w:t>MgO</w:t>
            </w:r>
            <w:proofErr w:type="spellEnd"/>
          </w:p>
          <w:p w:rsidR="00707A68" w:rsidRPr="00305495" w:rsidRDefault="00707A68" w:rsidP="00707A68">
            <w:pPr>
              <w:jc w:val="center"/>
              <w:rPr>
                <w:rFonts w:ascii="Times New Roman" w:hAnsi="Times New Roman" w:cs="Times New Roman"/>
                <w:color w:val="000000"/>
                <w:sz w:val="20"/>
                <w:szCs w:val="20"/>
                <w:shd w:val="clear" w:color="auto" w:fill="FFFFFF"/>
              </w:rPr>
            </w:pPr>
          </w:p>
        </w:tc>
        <w:tc>
          <w:tcPr>
            <w:tcW w:w="775"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Fe</w:t>
            </w:r>
            <w:r w:rsidRPr="00305495">
              <w:rPr>
                <w:rFonts w:ascii="Times New Roman" w:eastAsia="宋体" w:hAnsi="Times New Roman" w:cs="Times New Roman"/>
                <w:color w:val="000000"/>
                <w:sz w:val="20"/>
                <w:szCs w:val="20"/>
                <w:shd w:val="clear" w:color="auto" w:fill="FFFFFF"/>
                <w:vertAlign w:val="subscript"/>
              </w:rPr>
              <w:t>2</w:t>
            </w:r>
            <w:r w:rsidRPr="00305495">
              <w:rPr>
                <w:rFonts w:ascii="Times New Roman" w:eastAsia="宋体" w:hAnsi="Times New Roman" w:cs="Times New Roman"/>
                <w:color w:val="000000"/>
                <w:sz w:val="20"/>
                <w:szCs w:val="20"/>
                <w:shd w:val="clear" w:color="auto" w:fill="FFFFFF"/>
              </w:rPr>
              <w:t>O</w:t>
            </w:r>
            <w:r w:rsidRPr="00305495">
              <w:rPr>
                <w:rFonts w:ascii="Times New Roman" w:eastAsia="宋体" w:hAnsi="Times New Roman" w:cs="Times New Roman"/>
                <w:color w:val="000000"/>
                <w:sz w:val="20"/>
                <w:szCs w:val="20"/>
                <w:shd w:val="clear" w:color="auto" w:fill="FFFFFF"/>
                <w:vertAlign w:val="subscript"/>
              </w:rPr>
              <w:t>3</w:t>
            </w:r>
          </w:p>
        </w:tc>
        <w:tc>
          <w:tcPr>
            <w:tcW w:w="775"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Al</w:t>
            </w:r>
            <w:r w:rsidRPr="00305495">
              <w:rPr>
                <w:rFonts w:ascii="Times New Roman" w:eastAsia="宋体" w:hAnsi="Times New Roman" w:cs="Times New Roman"/>
                <w:color w:val="000000"/>
                <w:sz w:val="20"/>
                <w:szCs w:val="20"/>
                <w:shd w:val="clear" w:color="auto" w:fill="FFFFFF"/>
                <w:vertAlign w:val="subscript"/>
              </w:rPr>
              <w:t>2</w:t>
            </w:r>
            <w:r w:rsidRPr="00305495">
              <w:rPr>
                <w:rFonts w:ascii="Times New Roman" w:eastAsia="宋体" w:hAnsi="Times New Roman" w:cs="Times New Roman"/>
                <w:color w:val="000000"/>
                <w:sz w:val="20"/>
                <w:szCs w:val="20"/>
                <w:shd w:val="clear" w:color="auto" w:fill="FFFFFF"/>
              </w:rPr>
              <w:t>O</w:t>
            </w:r>
            <w:r w:rsidRPr="00305495">
              <w:rPr>
                <w:rFonts w:ascii="Times New Roman" w:eastAsia="宋体" w:hAnsi="Times New Roman" w:cs="Times New Roman"/>
                <w:color w:val="000000"/>
                <w:sz w:val="20"/>
                <w:szCs w:val="20"/>
                <w:shd w:val="clear" w:color="auto" w:fill="FFFFFF"/>
                <w:vertAlign w:val="subscript"/>
              </w:rPr>
              <w:t>3</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TiO</w:t>
            </w:r>
            <w:r w:rsidRPr="00305495">
              <w:rPr>
                <w:rFonts w:ascii="Times New Roman" w:eastAsia="宋体" w:hAnsi="Times New Roman" w:cs="Times New Roman"/>
                <w:color w:val="000000"/>
                <w:sz w:val="20"/>
                <w:szCs w:val="20"/>
                <w:shd w:val="clear" w:color="auto" w:fill="FFFFFF"/>
                <w:vertAlign w:val="subscript"/>
              </w:rPr>
              <w:t>2</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SO</w:t>
            </w:r>
            <w:r w:rsidRPr="00305495">
              <w:rPr>
                <w:rFonts w:ascii="Times New Roman" w:eastAsia="宋体" w:hAnsi="Times New Roman" w:cs="Times New Roman"/>
                <w:color w:val="000000"/>
                <w:sz w:val="20"/>
                <w:szCs w:val="20"/>
                <w:shd w:val="clear" w:color="auto" w:fill="FFFFFF"/>
                <w:vertAlign w:val="subscript"/>
              </w:rPr>
              <w:t>3</w:t>
            </w:r>
          </w:p>
        </w:tc>
        <w:tc>
          <w:tcPr>
            <w:tcW w:w="690"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P</w:t>
            </w:r>
            <w:r w:rsidRPr="00305495">
              <w:rPr>
                <w:rFonts w:ascii="Times New Roman" w:eastAsia="宋体" w:hAnsi="Times New Roman" w:cs="Times New Roman"/>
                <w:color w:val="000000"/>
                <w:sz w:val="20"/>
                <w:szCs w:val="20"/>
                <w:shd w:val="clear" w:color="auto" w:fill="FFFFFF"/>
                <w:vertAlign w:val="subscript"/>
              </w:rPr>
              <w:t>2</w:t>
            </w:r>
            <w:r w:rsidRPr="00305495">
              <w:rPr>
                <w:rFonts w:ascii="Times New Roman" w:eastAsia="宋体" w:hAnsi="Times New Roman" w:cs="Times New Roman"/>
                <w:color w:val="000000"/>
                <w:sz w:val="20"/>
                <w:szCs w:val="20"/>
                <w:shd w:val="clear" w:color="auto" w:fill="FFFFFF"/>
              </w:rPr>
              <w:t>O</w:t>
            </w:r>
            <w:r w:rsidRPr="00305495">
              <w:rPr>
                <w:rFonts w:ascii="Times New Roman" w:eastAsia="宋体" w:hAnsi="Times New Roman" w:cs="Times New Roman"/>
                <w:color w:val="000000"/>
                <w:sz w:val="20"/>
                <w:szCs w:val="20"/>
                <w:shd w:val="clear" w:color="auto" w:fill="FFFFFF"/>
                <w:vertAlign w:val="subscript"/>
              </w:rPr>
              <w:t>5</w:t>
            </w:r>
          </w:p>
        </w:tc>
        <w:tc>
          <w:tcPr>
            <w:tcW w:w="775" w:type="dxa"/>
            <w:tcBorders>
              <w:left w:val="nil"/>
              <w:bottom w:val="single" w:sz="4" w:space="0" w:color="000000" w:themeColor="text1"/>
              <w:right w:val="nil"/>
            </w:tcBorders>
            <w:vAlign w:val="center"/>
          </w:tcPr>
          <w:p w:rsidR="00707A68" w:rsidRPr="00305495" w:rsidRDefault="00707A68" w:rsidP="00707A68">
            <w:pPr>
              <w:jc w:val="center"/>
              <w:rPr>
                <w:rFonts w:ascii="Times New Roman" w:hAnsi="Times New Roman" w:cs="Times New Roman"/>
                <w:sz w:val="20"/>
                <w:szCs w:val="20"/>
              </w:rPr>
            </w:pPr>
            <w:r w:rsidRPr="00305495">
              <w:rPr>
                <w:rFonts w:ascii="Times New Roman" w:hAnsi="Times New Roman" w:cs="Times New Roman"/>
                <w:color w:val="000000"/>
                <w:sz w:val="20"/>
                <w:szCs w:val="20"/>
                <w:shd w:val="clear" w:color="auto" w:fill="FFFFFF"/>
              </w:rPr>
              <w:t>Cr</w:t>
            </w:r>
            <w:r w:rsidRPr="00950898">
              <w:rPr>
                <w:rFonts w:ascii="Times New Roman" w:hAnsi="Times New Roman" w:cs="Times New Roman"/>
                <w:color w:val="000000"/>
                <w:sz w:val="20"/>
                <w:szCs w:val="20"/>
                <w:shd w:val="clear" w:color="auto" w:fill="FFFFFF"/>
                <w:vertAlign w:val="subscript"/>
              </w:rPr>
              <w:t>2</w:t>
            </w:r>
            <w:r>
              <w:rPr>
                <w:rFonts w:ascii="Times New Roman" w:hAnsi="Times New Roman" w:cs="Times New Roman"/>
                <w:color w:val="000000"/>
                <w:sz w:val="20"/>
                <w:szCs w:val="20"/>
                <w:shd w:val="clear" w:color="auto" w:fill="FFFFFF"/>
              </w:rPr>
              <w:t>O</w:t>
            </w:r>
            <w:r w:rsidRPr="00950898">
              <w:rPr>
                <w:rFonts w:ascii="Times New Roman" w:hAnsi="Times New Roman" w:cs="Times New Roman"/>
                <w:color w:val="000000"/>
                <w:sz w:val="20"/>
                <w:szCs w:val="20"/>
                <w:shd w:val="clear" w:color="auto" w:fill="FFFFFF"/>
                <w:vertAlign w:val="subscript"/>
              </w:rPr>
              <w:t>5</w:t>
            </w:r>
          </w:p>
        </w:tc>
        <w:tc>
          <w:tcPr>
            <w:tcW w:w="816" w:type="dxa"/>
            <w:tcBorders>
              <w:left w:val="nil"/>
              <w:bottom w:val="single" w:sz="4" w:space="0" w:color="000000" w:themeColor="text1"/>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MnO</w:t>
            </w:r>
            <w:proofErr w:type="spellEnd"/>
          </w:p>
        </w:tc>
        <w:tc>
          <w:tcPr>
            <w:tcW w:w="743" w:type="dxa"/>
            <w:tcBorders>
              <w:left w:val="nil"/>
              <w:bottom w:val="single" w:sz="4" w:space="0" w:color="000000" w:themeColor="text1"/>
              <w:right w:val="nil"/>
            </w:tcBorders>
            <w:vAlign w:val="center"/>
          </w:tcPr>
          <w:p w:rsidR="00707A68" w:rsidRDefault="00707A68" w:rsidP="00707A68">
            <w:pPr>
              <w:ind w:left="1094" w:hanging="1094"/>
              <w:jc w:val="center"/>
              <w:rPr>
                <w:rFonts w:ascii="Times New Roman" w:eastAsia="宋体" w:hAnsi="Times New Roman" w:cs="Times New Roman"/>
                <w:color w:val="000000"/>
                <w:sz w:val="20"/>
                <w:szCs w:val="20"/>
                <w:shd w:val="clear" w:color="auto" w:fill="FFFFFF"/>
              </w:rPr>
            </w:pPr>
            <w:r>
              <w:rPr>
                <w:rFonts w:ascii="Times New Roman" w:eastAsia="宋体" w:hAnsi="Times New Roman" w:cs="Times New Roman"/>
                <w:color w:val="000000"/>
                <w:sz w:val="20"/>
                <w:szCs w:val="20"/>
                <w:shd w:val="clear" w:color="auto" w:fill="FFFFFF"/>
              </w:rPr>
              <w:t>K</w:t>
            </w:r>
            <w:r w:rsidRPr="0028342A">
              <w:rPr>
                <w:rFonts w:ascii="Times New Roman" w:eastAsia="宋体" w:hAnsi="Times New Roman" w:cs="Times New Roman"/>
                <w:color w:val="000000"/>
                <w:sz w:val="20"/>
                <w:szCs w:val="20"/>
                <w:shd w:val="clear" w:color="auto" w:fill="FFFFFF"/>
                <w:vertAlign w:val="subscript"/>
              </w:rPr>
              <w:t>2</w:t>
            </w:r>
            <w:r>
              <w:rPr>
                <w:rFonts w:ascii="Times New Roman" w:eastAsia="宋体" w:hAnsi="Times New Roman" w:cs="Times New Roman"/>
                <w:color w:val="000000"/>
                <w:sz w:val="20"/>
                <w:szCs w:val="20"/>
                <w:shd w:val="clear" w:color="auto" w:fill="FFFFFF"/>
              </w:rPr>
              <w:t>O</w:t>
            </w:r>
          </w:p>
        </w:tc>
        <w:tc>
          <w:tcPr>
            <w:tcW w:w="837" w:type="dxa"/>
            <w:tcBorders>
              <w:left w:val="nil"/>
              <w:bottom w:val="single" w:sz="4" w:space="0" w:color="000000" w:themeColor="text1"/>
              <w:right w:val="nil"/>
            </w:tcBorders>
            <w:vAlign w:val="center"/>
          </w:tcPr>
          <w:p w:rsidR="00707A68" w:rsidRDefault="00707A68" w:rsidP="00707A68">
            <w:pPr>
              <w:jc w:val="center"/>
              <w:rPr>
                <w:rFonts w:ascii="Times New Roman" w:eastAsia="宋体" w:hAnsi="Times New Roman" w:cs="Times New Roman"/>
                <w:color w:val="000000"/>
                <w:sz w:val="20"/>
                <w:szCs w:val="20"/>
                <w:shd w:val="clear" w:color="auto" w:fill="FFFFFF"/>
              </w:rPr>
            </w:pPr>
            <w:r>
              <w:rPr>
                <w:rFonts w:ascii="Times New Roman" w:eastAsia="宋体" w:hAnsi="Times New Roman" w:cs="Times New Roman"/>
                <w:color w:val="000000"/>
                <w:sz w:val="20"/>
                <w:szCs w:val="20"/>
                <w:shd w:val="clear" w:color="auto" w:fill="FFFFFF"/>
              </w:rPr>
              <w:t>Na</w:t>
            </w:r>
            <w:r w:rsidRPr="0028342A">
              <w:rPr>
                <w:rFonts w:ascii="Times New Roman" w:eastAsia="宋体" w:hAnsi="Times New Roman" w:cs="Times New Roman"/>
                <w:color w:val="000000"/>
                <w:sz w:val="20"/>
                <w:szCs w:val="20"/>
                <w:shd w:val="clear" w:color="auto" w:fill="FFFFFF"/>
                <w:vertAlign w:val="subscript"/>
              </w:rPr>
              <w:t>2</w:t>
            </w:r>
            <w:r>
              <w:rPr>
                <w:rFonts w:ascii="Times New Roman" w:eastAsia="宋体" w:hAnsi="Times New Roman" w:cs="Times New Roman"/>
                <w:color w:val="000000"/>
                <w:sz w:val="20"/>
                <w:szCs w:val="20"/>
                <w:shd w:val="clear" w:color="auto" w:fill="FFFFFF"/>
              </w:rPr>
              <w:t>O</w:t>
            </w:r>
          </w:p>
        </w:tc>
        <w:tc>
          <w:tcPr>
            <w:tcW w:w="837" w:type="dxa"/>
            <w:tcBorders>
              <w:left w:val="nil"/>
              <w:bottom w:val="single" w:sz="4" w:space="0" w:color="000000" w:themeColor="text1"/>
              <w:right w:val="nil"/>
            </w:tcBorders>
            <w:vAlign w:val="center"/>
          </w:tcPr>
          <w:p w:rsidR="00707A68" w:rsidRDefault="00707A68" w:rsidP="00707A68">
            <w:pPr>
              <w:jc w:val="center"/>
              <w:rPr>
                <w:rFonts w:ascii="Times New Roman" w:eastAsia="宋体" w:hAnsi="Times New Roman" w:cs="Times New Roman"/>
                <w:color w:val="000000"/>
                <w:sz w:val="20"/>
                <w:szCs w:val="20"/>
                <w:shd w:val="clear" w:color="auto" w:fill="FFFFFF"/>
              </w:rPr>
            </w:pPr>
            <w:proofErr w:type="spellStart"/>
            <w:r>
              <w:rPr>
                <w:rFonts w:ascii="Times New Roman" w:eastAsia="宋体" w:hAnsi="Times New Roman" w:cs="Times New Roman"/>
                <w:color w:val="000000"/>
                <w:sz w:val="20"/>
                <w:szCs w:val="20"/>
                <w:shd w:val="clear" w:color="auto" w:fill="FFFFFF"/>
              </w:rPr>
              <w:t>ZnO</w:t>
            </w:r>
            <w:proofErr w:type="spellEnd"/>
          </w:p>
        </w:tc>
        <w:tc>
          <w:tcPr>
            <w:tcW w:w="1084"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Pr>
                <w:rFonts w:ascii="Times New Roman" w:eastAsia="宋体" w:hAnsi="Times New Roman" w:cs="Times New Roman"/>
                <w:color w:val="000000"/>
                <w:sz w:val="20"/>
                <w:szCs w:val="20"/>
                <w:shd w:val="clear" w:color="auto" w:fill="FFFFFF"/>
              </w:rPr>
              <w:t>L.O.I</w:t>
            </w:r>
          </w:p>
        </w:tc>
        <w:tc>
          <w:tcPr>
            <w:tcW w:w="1737" w:type="dxa"/>
            <w:tcBorders>
              <w:left w:val="nil"/>
              <w:bottom w:val="single" w:sz="4" w:space="0" w:color="000000" w:themeColor="text1"/>
              <w:right w:val="nil"/>
            </w:tcBorders>
            <w:vAlign w:val="center"/>
          </w:tcPr>
          <w:p w:rsidR="00707A68" w:rsidRPr="00305495" w:rsidRDefault="00707A68" w:rsidP="00707A68">
            <w:pPr>
              <w:jc w:val="center"/>
              <w:rPr>
                <w:rFonts w:ascii="Times New Roman" w:eastAsia="宋体" w:hAnsi="Times New Roman" w:cs="Times New Roman"/>
                <w:color w:val="000000"/>
                <w:sz w:val="20"/>
                <w:szCs w:val="20"/>
                <w:shd w:val="clear" w:color="auto" w:fill="FFFFFF"/>
              </w:rPr>
            </w:pPr>
            <w:r w:rsidRPr="00305495">
              <w:rPr>
                <w:rFonts w:ascii="Times New Roman" w:eastAsia="宋体" w:hAnsi="Times New Roman" w:cs="Times New Roman"/>
                <w:color w:val="000000"/>
                <w:sz w:val="20"/>
                <w:szCs w:val="20"/>
                <w:shd w:val="clear" w:color="auto" w:fill="FFFFFF"/>
              </w:rPr>
              <w:t>CaO/</w:t>
            </w:r>
            <w:r>
              <w:rPr>
                <w:rFonts w:ascii="Times New Roman" w:eastAsia="宋体" w:hAnsi="Times New Roman" w:cs="Times New Roman"/>
                <w:color w:val="000000"/>
                <w:sz w:val="20"/>
                <w:szCs w:val="20"/>
                <w:shd w:val="clear" w:color="auto" w:fill="FFFFFF"/>
              </w:rPr>
              <w:t>[</w:t>
            </w:r>
            <w:r w:rsidRPr="00305495">
              <w:rPr>
                <w:rFonts w:ascii="Times New Roman" w:eastAsia="宋体" w:hAnsi="Times New Roman" w:cs="Times New Roman"/>
                <w:color w:val="000000"/>
                <w:sz w:val="20"/>
                <w:szCs w:val="20"/>
                <w:shd w:val="clear" w:color="auto" w:fill="FFFFFF"/>
              </w:rPr>
              <w:t>SiO</w:t>
            </w:r>
            <w:r w:rsidRPr="00305495">
              <w:rPr>
                <w:rFonts w:ascii="Times New Roman" w:eastAsia="宋体" w:hAnsi="Times New Roman" w:cs="Times New Roman"/>
                <w:color w:val="000000"/>
                <w:sz w:val="20"/>
                <w:szCs w:val="20"/>
                <w:shd w:val="clear" w:color="auto" w:fill="FFFFFF"/>
                <w:vertAlign w:val="subscript"/>
              </w:rPr>
              <w:t>2</w:t>
            </w:r>
            <w:r w:rsidRPr="00305495">
              <w:rPr>
                <w:rFonts w:ascii="Times New Roman" w:eastAsia="宋体" w:hAnsi="Times New Roman" w:cs="Times New Roman"/>
                <w:color w:val="000000"/>
                <w:sz w:val="20"/>
                <w:szCs w:val="20"/>
                <w:shd w:val="clear" w:color="auto" w:fill="FFFFFF"/>
              </w:rPr>
              <w:t>+P</w:t>
            </w:r>
            <w:r w:rsidRPr="00305495">
              <w:rPr>
                <w:rFonts w:ascii="Times New Roman" w:eastAsia="宋体" w:hAnsi="Times New Roman" w:cs="Times New Roman"/>
                <w:color w:val="000000"/>
                <w:sz w:val="20"/>
                <w:szCs w:val="20"/>
                <w:shd w:val="clear" w:color="auto" w:fill="FFFFFF"/>
                <w:vertAlign w:val="subscript"/>
              </w:rPr>
              <w:t>2</w:t>
            </w:r>
            <w:r w:rsidRPr="00305495">
              <w:rPr>
                <w:rFonts w:ascii="Times New Roman" w:eastAsia="宋体" w:hAnsi="Times New Roman" w:cs="Times New Roman"/>
                <w:color w:val="000000"/>
                <w:sz w:val="20"/>
                <w:szCs w:val="20"/>
                <w:shd w:val="clear" w:color="auto" w:fill="FFFFFF"/>
              </w:rPr>
              <w:t>O</w:t>
            </w:r>
            <w:r w:rsidRPr="00305495">
              <w:rPr>
                <w:rFonts w:ascii="Times New Roman" w:eastAsia="宋体" w:hAnsi="Times New Roman" w:cs="Times New Roman"/>
                <w:color w:val="000000"/>
                <w:sz w:val="20"/>
                <w:szCs w:val="20"/>
                <w:shd w:val="clear" w:color="auto" w:fill="FFFFFF"/>
                <w:vertAlign w:val="subscript"/>
              </w:rPr>
              <w:t>5</w:t>
            </w:r>
            <w:r>
              <w:rPr>
                <w:rFonts w:ascii="Times New Roman" w:eastAsia="宋体" w:hAnsi="Times New Roman" w:cs="Times New Roman"/>
                <w:color w:val="000000"/>
                <w:sz w:val="20"/>
                <w:szCs w:val="20"/>
                <w:shd w:val="clear" w:color="auto" w:fill="FFFFFF"/>
              </w:rPr>
              <w:t>]</w:t>
            </w:r>
          </w:p>
        </w:tc>
      </w:tr>
      <w:tr w:rsidR="00707A68" w:rsidRPr="00305495" w:rsidTr="00707A68">
        <w:trPr>
          <w:trHeight w:val="459"/>
        </w:trPr>
        <w:tc>
          <w:tcPr>
            <w:tcW w:w="1656" w:type="dxa"/>
            <w:tcBorders>
              <w:left w:val="nil"/>
              <w:bottom w:val="nil"/>
              <w:right w:val="nil"/>
            </w:tcBorders>
            <w:vAlign w:val="center"/>
          </w:tcPr>
          <w:p w:rsidR="00707A68" w:rsidRPr="00157ABD" w:rsidRDefault="00707A68" w:rsidP="00707A68">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157ABD">
              <w:rPr>
                <w:rFonts w:ascii="Times New Roman" w:hAnsi="Times New Roman" w:cs="Times New Roman"/>
                <w:color w:val="000000"/>
                <w:sz w:val="20"/>
                <w:szCs w:val="20"/>
                <w:shd w:val="clear" w:color="auto" w:fill="FFFFFF"/>
              </w:rPr>
              <w:t>CS</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13</w:t>
            </w:r>
            <w:r w:rsidRPr="00305495">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40</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37</w:t>
            </w:r>
            <w:r w:rsidRPr="00305495">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50</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4.61</w:t>
            </w:r>
          </w:p>
        </w:tc>
        <w:tc>
          <w:tcPr>
            <w:tcW w:w="775"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w:t>
            </w:r>
            <w:r w:rsidRPr="00305495">
              <w:rPr>
                <w:rFonts w:ascii="Times New Roman" w:hAnsi="Times New Roman" w:cs="Times New Roman"/>
                <w:color w:val="000000"/>
                <w:sz w:val="20"/>
                <w:szCs w:val="20"/>
                <w:shd w:val="clear" w:color="auto" w:fill="FFFFFF"/>
              </w:rPr>
              <w:t>.82</w:t>
            </w:r>
          </w:p>
        </w:tc>
        <w:tc>
          <w:tcPr>
            <w:tcW w:w="775"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9.90</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0.84</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0.78</w:t>
            </w:r>
          </w:p>
        </w:tc>
        <w:tc>
          <w:tcPr>
            <w:tcW w:w="690"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0.87</w:t>
            </w:r>
          </w:p>
        </w:tc>
        <w:tc>
          <w:tcPr>
            <w:tcW w:w="775" w:type="dxa"/>
            <w:tcBorders>
              <w:left w:val="nil"/>
              <w:bottom w:val="nil"/>
              <w:right w:val="nil"/>
            </w:tcBorders>
            <w:vAlign w:val="center"/>
          </w:tcPr>
          <w:p w:rsidR="00707A68" w:rsidRPr="00305495" w:rsidRDefault="00707A68" w:rsidP="00707A68">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0.02</w:t>
            </w:r>
          </w:p>
        </w:tc>
        <w:tc>
          <w:tcPr>
            <w:tcW w:w="816" w:type="dxa"/>
            <w:tcBorders>
              <w:left w:val="nil"/>
              <w:bottom w:val="nil"/>
              <w:right w:val="nil"/>
            </w:tcBorders>
            <w:vAlign w:val="center"/>
          </w:tcPr>
          <w:p w:rsidR="00707A68" w:rsidRPr="00305495" w:rsidRDefault="00707A68" w:rsidP="00707A68">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3.52</w:t>
            </w:r>
          </w:p>
        </w:tc>
        <w:tc>
          <w:tcPr>
            <w:tcW w:w="743" w:type="dxa"/>
            <w:tcBorders>
              <w:left w:val="nil"/>
              <w:bottom w:val="nil"/>
              <w:right w:val="nil"/>
            </w:tcBorders>
            <w:vAlign w:val="center"/>
          </w:tcPr>
          <w:p w:rsidR="00707A68" w:rsidRDefault="00707A68" w:rsidP="00707A68">
            <w:pPr>
              <w:ind w:left="1094" w:hanging="1094"/>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0.36</w:t>
            </w:r>
          </w:p>
        </w:tc>
        <w:tc>
          <w:tcPr>
            <w:tcW w:w="837" w:type="dxa"/>
            <w:tcBorders>
              <w:left w:val="nil"/>
              <w:bottom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0.25</w:t>
            </w:r>
          </w:p>
        </w:tc>
        <w:tc>
          <w:tcPr>
            <w:tcW w:w="837" w:type="dxa"/>
            <w:tcBorders>
              <w:left w:val="nil"/>
              <w:bottom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0.85</w:t>
            </w:r>
          </w:p>
        </w:tc>
        <w:tc>
          <w:tcPr>
            <w:tcW w:w="1084"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3.28</w:t>
            </w:r>
          </w:p>
        </w:tc>
        <w:tc>
          <w:tcPr>
            <w:tcW w:w="1737" w:type="dxa"/>
            <w:tcBorders>
              <w:left w:val="nil"/>
              <w:bottom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2.</w:t>
            </w:r>
            <w:r>
              <w:rPr>
                <w:rFonts w:ascii="Times New Roman" w:hAnsi="Times New Roman" w:cs="Times New Roman"/>
                <w:color w:val="000000"/>
                <w:sz w:val="20"/>
                <w:szCs w:val="20"/>
                <w:shd w:val="clear" w:color="auto" w:fill="FFFFFF"/>
              </w:rPr>
              <w:t>63</w:t>
            </w:r>
          </w:p>
        </w:tc>
      </w:tr>
      <w:tr w:rsidR="00707A68" w:rsidRPr="00305495" w:rsidTr="00707A68">
        <w:trPr>
          <w:trHeight w:val="70"/>
        </w:trPr>
        <w:tc>
          <w:tcPr>
            <w:tcW w:w="1656" w:type="dxa"/>
            <w:tcBorders>
              <w:top w:val="nil"/>
              <w:left w:val="nil"/>
              <w:right w:val="nil"/>
            </w:tcBorders>
            <w:vAlign w:val="center"/>
          </w:tcPr>
          <w:p w:rsidR="00707A68" w:rsidRPr="00157ABD" w:rsidRDefault="00707A68" w:rsidP="00707A68">
            <w:pPr>
              <w:ind w:left="620"/>
              <w:rPr>
                <w:rFonts w:ascii="Times New Roman" w:hAnsi="Times New Roman" w:cs="Times New Roman"/>
                <w:color w:val="000000"/>
                <w:sz w:val="20"/>
                <w:szCs w:val="20"/>
                <w:shd w:val="clear" w:color="auto" w:fill="FFFFFF"/>
              </w:rPr>
            </w:pPr>
            <w:r w:rsidRPr="00157ABD">
              <w:rPr>
                <w:rFonts w:ascii="Times New Roman" w:hAnsi="Times New Roman" w:cs="Times New Roman"/>
                <w:color w:val="000000"/>
                <w:sz w:val="20"/>
                <w:szCs w:val="20"/>
                <w:shd w:val="clear" w:color="auto" w:fill="FFFFFF"/>
              </w:rPr>
              <w:t>SS</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27.82</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43.22</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w:t>
            </w:r>
            <w:r w:rsidRPr="00305495">
              <w:rPr>
                <w:rFonts w:ascii="Times New Roman" w:hAnsi="Times New Roman" w:cs="Times New Roman"/>
                <w:color w:val="000000"/>
                <w:sz w:val="20"/>
                <w:szCs w:val="20"/>
                <w:shd w:val="clear" w:color="auto" w:fill="FFFFFF"/>
              </w:rPr>
              <w:t>.5</w:t>
            </w:r>
            <w:r>
              <w:rPr>
                <w:rFonts w:ascii="Times New Roman" w:hAnsi="Times New Roman" w:cs="Times New Roman"/>
                <w:color w:val="000000"/>
                <w:sz w:val="20"/>
                <w:szCs w:val="20"/>
                <w:shd w:val="clear" w:color="auto" w:fill="FFFFFF"/>
              </w:rPr>
              <w:t>0</w:t>
            </w:r>
          </w:p>
        </w:tc>
        <w:tc>
          <w:tcPr>
            <w:tcW w:w="775"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w:t>
            </w:r>
            <w:r w:rsidRPr="00305495">
              <w:rPr>
                <w:rFonts w:ascii="Times New Roman" w:hAnsi="Times New Roman" w:cs="Times New Roman"/>
                <w:color w:val="000000"/>
                <w:sz w:val="20"/>
                <w:szCs w:val="20"/>
                <w:shd w:val="clear" w:color="auto" w:fill="FFFFFF"/>
              </w:rPr>
              <w:t>.54</w:t>
            </w:r>
          </w:p>
        </w:tc>
        <w:tc>
          <w:tcPr>
            <w:tcW w:w="775"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4.70</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0.59</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sidRPr="00305495">
              <w:rPr>
                <w:rFonts w:ascii="Times New Roman" w:hAnsi="Times New Roman" w:cs="Times New Roman"/>
                <w:color w:val="000000"/>
                <w:sz w:val="20"/>
                <w:szCs w:val="20"/>
                <w:shd w:val="clear" w:color="auto" w:fill="FFFFFF"/>
              </w:rPr>
              <w:t>1.73</w:t>
            </w:r>
          </w:p>
        </w:tc>
        <w:tc>
          <w:tcPr>
            <w:tcW w:w="690"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0.14</w:t>
            </w:r>
          </w:p>
        </w:tc>
        <w:tc>
          <w:tcPr>
            <w:tcW w:w="775"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0.95</w:t>
            </w:r>
          </w:p>
        </w:tc>
        <w:tc>
          <w:tcPr>
            <w:tcW w:w="816" w:type="dxa"/>
            <w:tcBorders>
              <w:top w:val="nil"/>
              <w:left w:val="nil"/>
              <w:right w:val="nil"/>
            </w:tcBorders>
            <w:vAlign w:val="center"/>
          </w:tcPr>
          <w:p w:rsidR="00707A68" w:rsidRPr="00305495"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2.00</w:t>
            </w:r>
          </w:p>
        </w:tc>
        <w:tc>
          <w:tcPr>
            <w:tcW w:w="743" w:type="dxa"/>
            <w:tcBorders>
              <w:top w:val="nil"/>
              <w:left w:val="nil"/>
              <w:right w:val="nil"/>
            </w:tcBorders>
            <w:vAlign w:val="center"/>
          </w:tcPr>
          <w:p w:rsidR="00707A68" w:rsidRDefault="00707A68" w:rsidP="00707A68">
            <w:pPr>
              <w:ind w:left="1094" w:hanging="1094"/>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0.25</w:t>
            </w:r>
          </w:p>
        </w:tc>
        <w:tc>
          <w:tcPr>
            <w:tcW w:w="837" w:type="dxa"/>
            <w:tcBorders>
              <w:top w:val="nil"/>
              <w:left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0.21</w:t>
            </w:r>
          </w:p>
        </w:tc>
        <w:tc>
          <w:tcPr>
            <w:tcW w:w="837" w:type="dxa"/>
            <w:tcBorders>
              <w:top w:val="nil"/>
              <w:left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0.55</w:t>
            </w:r>
          </w:p>
        </w:tc>
        <w:tc>
          <w:tcPr>
            <w:tcW w:w="1084" w:type="dxa"/>
            <w:tcBorders>
              <w:top w:val="nil"/>
              <w:left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3.80</w:t>
            </w:r>
          </w:p>
        </w:tc>
        <w:tc>
          <w:tcPr>
            <w:tcW w:w="1737" w:type="dxa"/>
            <w:tcBorders>
              <w:top w:val="nil"/>
              <w:left w:val="nil"/>
              <w:right w:val="nil"/>
            </w:tcBorders>
            <w:vAlign w:val="center"/>
          </w:tcPr>
          <w:p w:rsidR="00707A68" w:rsidRDefault="00707A68" w:rsidP="00707A68">
            <w:pPr>
              <w:jc w:val="center"/>
              <w:rPr>
                <w:rFonts w:ascii="Times New Roman" w:hAnsi="Times New Roman" w:cs="Times New Roman"/>
                <w:color w:val="000000"/>
                <w:sz w:val="20"/>
                <w:szCs w:val="20"/>
                <w:shd w:val="clear" w:color="auto" w:fill="FFFFFF"/>
              </w:rPr>
            </w:pPr>
          </w:p>
          <w:p w:rsidR="00707A68" w:rsidRDefault="00707A68" w:rsidP="00707A6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1.55</w:t>
            </w:r>
          </w:p>
          <w:p w:rsidR="00707A68" w:rsidRPr="00305495" w:rsidRDefault="00707A68" w:rsidP="00707A68">
            <w:pPr>
              <w:jc w:val="center"/>
              <w:rPr>
                <w:rFonts w:ascii="Times New Roman" w:hAnsi="Times New Roman" w:cs="Times New Roman"/>
                <w:color w:val="000000"/>
                <w:sz w:val="20"/>
                <w:szCs w:val="20"/>
                <w:shd w:val="clear" w:color="auto" w:fill="FFFFFF"/>
              </w:rPr>
            </w:pPr>
          </w:p>
        </w:tc>
      </w:tr>
    </w:tbl>
    <w:p w:rsidR="00707A68" w:rsidRPr="00391E1C" w:rsidRDefault="00707A68" w:rsidP="00707A68">
      <w:pPr>
        <w:autoSpaceDE w:val="0"/>
        <w:autoSpaceDN w:val="0"/>
        <w:adjustRightInd w:val="0"/>
        <w:spacing w:after="0" w:line="360" w:lineRule="auto"/>
        <w:jc w:val="both"/>
        <w:rPr>
          <w:rFonts w:ascii="AdvGulliv-R" w:hAnsi="AdvGulliv-R" w:cs="AdvGulliv-R"/>
          <w:color w:val="000000"/>
          <w:sz w:val="16"/>
          <w:szCs w:val="16"/>
        </w:rPr>
      </w:pPr>
    </w:p>
    <w:p w:rsidR="00707A68" w:rsidRDefault="00707A68" w:rsidP="00707A68"/>
    <w:p w:rsidR="00707A68" w:rsidRDefault="00707A68" w:rsidP="00707A68"/>
    <w:p w:rsidR="009351E7" w:rsidRDefault="009351E7"/>
    <w:sectPr w:rsidR="00935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Gulliv-R">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0E"/>
    <w:rsid w:val="00707A68"/>
    <w:rsid w:val="009351E7"/>
    <w:rsid w:val="00B453D4"/>
    <w:rsid w:val="00F42D6D"/>
    <w:rsid w:val="00F51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A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A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4</cp:revision>
  <dcterms:created xsi:type="dcterms:W3CDTF">2018-06-13T11:24:00Z</dcterms:created>
  <dcterms:modified xsi:type="dcterms:W3CDTF">2018-06-13T12:03:00Z</dcterms:modified>
</cp:coreProperties>
</file>