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42" w:rsidRPr="00E10D1D" w:rsidRDefault="00827C42" w:rsidP="002F73D2">
      <w:pPr>
        <w:adjustRightInd w:val="0"/>
        <w:snapToGrid w:val="0"/>
        <w:rPr>
          <w:sz w:val="28"/>
          <w:szCs w:val="22"/>
        </w:rPr>
      </w:pPr>
    </w:p>
    <w:p w:rsidR="00E8502A" w:rsidRDefault="00E8502A" w:rsidP="002F73D2">
      <w:pPr>
        <w:adjustRightInd w:val="0"/>
        <w:snapToGrid w:val="0"/>
        <w:rPr>
          <w:sz w:val="28"/>
          <w:szCs w:val="22"/>
        </w:rPr>
      </w:pPr>
    </w:p>
    <w:p w:rsidR="00BD560B" w:rsidRDefault="00BD560B" w:rsidP="002F73D2">
      <w:pPr>
        <w:adjustRightInd w:val="0"/>
        <w:snapToGrid w:val="0"/>
        <w:rPr>
          <w:sz w:val="28"/>
          <w:szCs w:val="22"/>
        </w:rPr>
      </w:pPr>
    </w:p>
    <w:p w:rsidR="00827C42" w:rsidRPr="00E10D1D" w:rsidRDefault="00827C42" w:rsidP="002F73D2">
      <w:pPr>
        <w:adjustRightInd w:val="0"/>
        <w:snapToGrid w:val="0"/>
        <w:rPr>
          <w:sz w:val="28"/>
          <w:szCs w:val="22"/>
        </w:rPr>
      </w:pPr>
    </w:p>
    <w:p w:rsidR="00DC7CEE" w:rsidRDefault="00300B61" w:rsidP="002F73D2">
      <w:pPr>
        <w:adjustRightInd w:val="0"/>
        <w:snapToGrid w:val="0"/>
        <w:jc w:val="center"/>
        <w:rPr>
          <w:b/>
          <w:sz w:val="28"/>
          <w:szCs w:val="22"/>
        </w:rPr>
      </w:pPr>
      <w:r>
        <w:rPr>
          <w:rFonts w:hint="eastAsia"/>
          <w:b/>
          <w:sz w:val="28"/>
          <w:szCs w:val="22"/>
        </w:rPr>
        <w:t>ADDITIONAL</w:t>
      </w:r>
      <w:r w:rsidR="00DC7CEE" w:rsidRPr="00E10D1D">
        <w:rPr>
          <w:b/>
          <w:sz w:val="28"/>
          <w:szCs w:val="22"/>
        </w:rPr>
        <w:t xml:space="preserve"> MATERIAL</w:t>
      </w:r>
    </w:p>
    <w:p w:rsidR="00BF24FF" w:rsidRDefault="00BF24FF" w:rsidP="002F73D2">
      <w:pPr>
        <w:adjustRightInd w:val="0"/>
        <w:snapToGrid w:val="0"/>
        <w:jc w:val="center"/>
        <w:rPr>
          <w:b/>
          <w:sz w:val="28"/>
          <w:szCs w:val="22"/>
        </w:rPr>
      </w:pPr>
    </w:p>
    <w:p w:rsidR="00BF24FF" w:rsidRPr="00E10D1D" w:rsidRDefault="00BF24FF" w:rsidP="002F73D2">
      <w:pPr>
        <w:adjustRightInd w:val="0"/>
        <w:snapToGrid w:val="0"/>
        <w:jc w:val="center"/>
        <w:rPr>
          <w:b/>
          <w:sz w:val="28"/>
          <w:szCs w:val="22"/>
        </w:rPr>
      </w:pPr>
    </w:p>
    <w:p w:rsidR="00CB763E" w:rsidRDefault="00CB763E" w:rsidP="002F73D2">
      <w:pPr>
        <w:adjustRightInd w:val="0"/>
        <w:snapToGrid w:val="0"/>
        <w:jc w:val="left"/>
        <w:rPr>
          <w:b/>
          <w:bCs/>
          <w:sz w:val="28"/>
          <w:szCs w:val="22"/>
        </w:rPr>
      </w:pPr>
      <w:bookmarkStart w:id="0" w:name="OLE_LINK5"/>
      <w:bookmarkStart w:id="1" w:name="OLE_LINK6"/>
      <w:r w:rsidRPr="00E10D1D">
        <w:rPr>
          <w:b/>
          <w:bCs/>
          <w:sz w:val="28"/>
          <w:szCs w:val="22"/>
        </w:rPr>
        <w:t>Coagulation Parameters and Risk of P</w:t>
      </w:r>
      <w:r w:rsidR="00B315AF">
        <w:rPr>
          <w:rFonts w:hint="eastAsia"/>
          <w:b/>
          <w:bCs/>
          <w:sz w:val="28"/>
          <w:szCs w:val="22"/>
        </w:rPr>
        <w:t>rogressive Hemorrhagic Injury</w:t>
      </w:r>
      <w:r w:rsidRPr="00E10D1D">
        <w:rPr>
          <w:b/>
          <w:bCs/>
          <w:sz w:val="28"/>
          <w:szCs w:val="22"/>
        </w:rPr>
        <w:t xml:space="preserve"> after Traumatic Brain Injury</w:t>
      </w:r>
      <w:r w:rsidR="006C63F0">
        <w:rPr>
          <w:rFonts w:hint="eastAsia"/>
          <w:b/>
          <w:bCs/>
          <w:sz w:val="28"/>
          <w:szCs w:val="22"/>
        </w:rPr>
        <w:t xml:space="preserve">: </w:t>
      </w:r>
      <w:r w:rsidR="00B315AF">
        <w:rPr>
          <w:b/>
          <w:bCs/>
          <w:sz w:val="28"/>
          <w:szCs w:val="22"/>
        </w:rPr>
        <w:t>A</w:t>
      </w:r>
      <w:r w:rsidRPr="00E10D1D">
        <w:rPr>
          <w:b/>
          <w:bCs/>
          <w:sz w:val="28"/>
          <w:szCs w:val="22"/>
        </w:rPr>
        <w:t>Meta-Analysis</w:t>
      </w:r>
      <w:r w:rsidR="008462A4">
        <w:rPr>
          <w:b/>
          <w:bCs/>
          <w:sz w:val="28"/>
          <w:szCs w:val="22"/>
        </w:rPr>
        <w:t>.</w:t>
      </w:r>
    </w:p>
    <w:bookmarkEnd w:id="0"/>
    <w:bookmarkEnd w:id="1"/>
    <w:p w:rsidR="00827C42" w:rsidRDefault="00827C42" w:rsidP="002F73D2">
      <w:pPr>
        <w:adjustRightInd w:val="0"/>
        <w:snapToGrid w:val="0"/>
        <w:jc w:val="left"/>
        <w:rPr>
          <w:b/>
          <w:bCs/>
          <w:sz w:val="28"/>
          <w:szCs w:val="22"/>
        </w:rPr>
      </w:pPr>
    </w:p>
    <w:p w:rsidR="00E8502A" w:rsidRPr="00E10D1D" w:rsidRDefault="00E8502A" w:rsidP="002F73D2">
      <w:pPr>
        <w:adjustRightInd w:val="0"/>
        <w:snapToGrid w:val="0"/>
        <w:jc w:val="left"/>
        <w:rPr>
          <w:b/>
          <w:bCs/>
          <w:sz w:val="28"/>
          <w:szCs w:val="22"/>
        </w:rPr>
      </w:pPr>
    </w:p>
    <w:p w:rsidR="00DC7CEE" w:rsidRPr="00E10D1D" w:rsidRDefault="003649BD" w:rsidP="002F73D2">
      <w:pPr>
        <w:adjustRightInd w:val="0"/>
        <w:snapToGrid w:val="0"/>
        <w:rPr>
          <w:sz w:val="28"/>
          <w:szCs w:val="22"/>
        </w:rPr>
      </w:pPr>
      <w:r w:rsidRPr="003649BD">
        <w:rPr>
          <w:sz w:val="28"/>
          <w:szCs w:val="22"/>
        </w:rPr>
        <w:t>Danfeng</w:t>
      </w:r>
      <w:r w:rsidR="005A1579">
        <w:rPr>
          <w:sz w:val="28"/>
          <w:szCs w:val="22"/>
        </w:rPr>
        <w:t xml:space="preserve"> Zhang, MD; Shun Gong, MD; Hai Jin, MD</w:t>
      </w:r>
      <w:r w:rsidRPr="003649BD">
        <w:rPr>
          <w:sz w:val="28"/>
          <w:szCs w:val="22"/>
        </w:rPr>
        <w:t xml:space="preserve">; </w:t>
      </w:r>
      <w:r w:rsidR="00315C03">
        <w:rPr>
          <w:rFonts w:hint="eastAsia"/>
          <w:sz w:val="28"/>
          <w:szCs w:val="22"/>
        </w:rPr>
        <w:t>Junyu Wang</w:t>
      </w:r>
      <w:r w:rsidR="00315C03" w:rsidRPr="003649BD">
        <w:rPr>
          <w:sz w:val="28"/>
          <w:szCs w:val="22"/>
        </w:rPr>
        <w:t>, MD;</w:t>
      </w:r>
      <w:r w:rsidRPr="003649BD">
        <w:rPr>
          <w:sz w:val="28"/>
          <w:szCs w:val="22"/>
        </w:rPr>
        <w:t>Ping Sheng, MD; Wei Zhou, MS; Yan Dong, MD; LijunHou, MD</w:t>
      </w:r>
    </w:p>
    <w:p w:rsidR="00DC7CEE" w:rsidRPr="00E10D1D" w:rsidRDefault="00DC7CEE" w:rsidP="002F73D2">
      <w:pPr>
        <w:adjustRightInd w:val="0"/>
        <w:snapToGrid w:val="0"/>
        <w:rPr>
          <w:sz w:val="28"/>
          <w:szCs w:val="22"/>
        </w:rPr>
      </w:pPr>
    </w:p>
    <w:p w:rsidR="003E1C57" w:rsidRPr="00E10D1D" w:rsidRDefault="003E1C57" w:rsidP="002F73D2">
      <w:pPr>
        <w:adjustRightInd w:val="0"/>
        <w:snapToGrid w:val="0"/>
        <w:rPr>
          <w:sz w:val="28"/>
          <w:szCs w:val="22"/>
        </w:rPr>
      </w:pPr>
    </w:p>
    <w:p w:rsidR="003E1C57" w:rsidRPr="00E10D1D" w:rsidRDefault="003E1C57" w:rsidP="002F73D2">
      <w:pPr>
        <w:adjustRightInd w:val="0"/>
        <w:snapToGrid w:val="0"/>
        <w:rPr>
          <w:sz w:val="28"/>
          <w:szCs w:val="22"/>
        </w:rPr>
      </w:pPr>
    </w:p>
    <w:p w:rsidR="003E1C57" w:rsidRPr="00E10D1D" w:rsidRDefault="003E1C57" w:rsidP="002F73D2">
      <w:pPr>
        <w:adjustRightInd w:val="0"/>
        <w:snapToGrid w:val="0"/>
        <w:rPr>
          <w:sz w:val="28"/>
          <w:szCs w:val="22"/>
        </w:rPr>
      </w:pPr>
    </w:p>
    <w:p w:rsidR="003E1C57" w:rsidRPr="00E10D1D" w:rsidRDefault="003E1C57" w:rsidP="002F73D2">
      <w:pPr>
        <w:adjustRightInd w:val="0"/>
        <w:snapToGrid w:val="0"/>
        <w:rPr>
          <w:sz w:val="28"/>
          <w:szCs w:val="22"/>
        </w:rPr>
      </w:pPr>
    </w:p>
    <w:p w:rsidR="003E1C57" w:rsidRPr="00E10D1D" w:rsidRDefault="003E1C57" w:rsidP="002F73D2">
      <w:pPr>
        <w:adjustRightInd w:val="0"/>
        <w:snapToGrid w:val="0"/>
        <w:rPr>
          <w:sz w:val="28"/>
          <w:szCs w:val="22"/>
        </w:rPr>
      </w:pPr>
    </w:p>
    <w:p w:rsidR="003E1C57" w:rsidRPr="00E10D1D" w:rsidRDefault="003E1C57" w:rsidP="002F73D2">
      <w:pPr>
        <w:adjustRightInd w:val="0"/>
        <w:snapToGrid w:val="0"/>
        <w:rPr>
          <w:sz w:val="28"/>
          <w:szCs w:val="22"/>
        </w:rPr>
      </w:pPr>
    </w:p>
    <w:p w:rsidR="003E1C57" w:rsidRPr="00E10D1D" w:rsidRDefault="003E1C57" w:rsidP="002F73D2">
      <w:pPr>
        <w:adjustRightInd w:val="0"/>
        <w:snapToGrid w:val="0"/>
        <w:rPr>
          <w:sz w:val="28"/>
          <w:szCs w:val="22"/>
        </w:rPr>
      </w:pPr>
    </w:p>
    <w:p w:rsidR="003E1C57" w:rsidRPr="00E10D1D" w:rsidRDefault="003E1C57" w:rsidP="002F73D2">
      <w:pPr>
        <w:adjustRightInd w:val="0"/>
        <w:snapToGrid w:val="0"/>
        <w:rPr>
          <w:sz w:val="28"/>
          <w:szCs w:val="22"/>
        </w:rPr>
      </w:pPr>
    </w:p>
    <w:p w:rsidR="008B74EB" w:rsidRDefault="008B74EB" w:rsidP="002F73D2">
      <w:pPr>
        <w:adjustRightInd w:val="0"/>
        <w:snapToGrid w:val="0"/>
        <w:rPr>
          <w:sz w:val="28"/>
          <w:szCs w:val="22"/>
        </w:rPr>
      </w:pPr>
    </w:p>
    <w:p w:rsidR="008B74EB" w:rsidRDefault="008B74EB" w:rsidP="002F73D2">
      <w:pPr>
        <w:adjustRightInd w:val="0"/>
        <w:snapToGrid w:val="0"/>
        <w:rPr>
          <w:sz w:val="28"/>
          <w:szCs w:val="22"/>
        </w:rPr>
      </w:pPr>
    </w:p>
    <w:p w:rsidR="008B74EB" w:rsidRDefault="008B74EB" w:rsidP="002F73D2">
      <w:pPr>
        <w:adjustRightInd w:val="0"/>
        <w:snapToGrid w:val="0"/>
        <w:rPr>
          <w:sz w:val="28"/>
          <w:szCs w:val="22"/>
        </w:rPr>
      </w:pPr>
    </w:p>
    <w:p w:rsidR="00827C42" w:rsidRDefault="00827C42" w:rsidP="002F73D2">
      <w:pPr>
        <w:adjustRightInd w:val="0"/>
        <w:snapToGrid w:val="0"/>
        <w:rPr>
          <w:sz w:val="28"/>
          <w:szCs w:val="22"/>
        </w:rPr>
      </w:pPr>
    </w:p>
    <w:p w:rsidR="00827C42" w:rsidRDefault="00827C42" w:rsidP="002F73D2">
      <w:pPr>
        <w:adjustRightInd w:val="0"/>
        <w:snapToGrid w:val="0"/>
        <w:rPr>
          <w:sz w:val="28"/>
          <w:szCs w:val="22"/>
        </w:rPr>
      </w:pPr>
    </w:p>
    <w:p w:rsidR="00827C42" w:rsidRDefault="00827C42" w:rsidP="002F73D2">
      <w:pPr>
        <w:adjustRightInd w:val="0"/>
        <w:snapToGrid w:val="0"/>
        <w:rPr>
          <w:sz w:val="28"/>
          <w:szCs w:val="22"/>
        </w:rPr>
      </w:pPr>
    </w:p>
    <w:p w:rsidR="00827C42" w:rsidRDefault="00827C42" w:rsidP="002F73D2">
      <w:pPr>
        <w:adjustRightInd w:val="0"/>
        <w:snapToGrid w:val="0"/>
        <w:rPr>
          <w:sz w:val="28"/>
          <w:szCs w:val="22"/>
        </w:rPr>
      </w:pPr>
    </w:p>
    <w:p w:rsidR="00827C42" w:rsidRDefault="00827C42" w:rsidP="002F73D2">
      <w:pPr>
        <w:adjustRightInd w:val="0"/>
        <w:snapToGrid w:val="0"/>
        <w:rPr>
          <w:sz w:val="28"/>
          <w:szCs w:val="22"/>
        </w:rPr>
      </w:pPr>
    </w:p>
    <w:p w:rsidR="00827C42" w:rsidRDefault="00827C42" w:rsidP="002F73D2">
      <w:pPr>
        <w:adjustRightInd w:val="0"/>
        <w:snapToGrid w:val="0"/>
        <w:rPr>
          <w:sz w:val="28"/>
          <w:szCs w:val="22"/>
        </w:rPr>
      </w:pPr>
    </w:p>
    <w:p w:rsidR="00827C42" w:rsidRDefault="00827C42" w:rsidP="002F73D2">
      <w:pPr>
        <w:adjustRightInd w:val="0"/>
        <w:snapToGrid w:val="0"/>
        <w:rPr>
          <w:sz w:val="28"/>
          <w:szCs w:val="22"/>
        </w:rPr>
      </w:pPr>
    </w:p>
    <w:p w:rsidR="00827C42" w:rsidRDefault="00827C42" w:rsidP="002F73D2">
      <w:pPr>
        <w:adjustRightInd w:val="0"/>
        <w:snapToGrid w:val="0"/>
        <w:rPr>
          <w:sz w:val="28"/>
          <w:szCs w:val="22"/>
        </w:rPr>
      </w:pPr>
    </w:p>
    <w:p w:rsidR="00827C42" w:rsidRDefault="00827C42" w:rsidP="002F73D2">
      <w:pPr>
        <w:adjustRightInd w:val="0"/>
        <w:snapToGrid w:val="0"/>
        <w:rPr>
          <w:sz w:val="28"/>
          <w:szCs w:val="22"/>
        </w:rPr>
      </w:pPr>
    </w:p>
    <w:p w:rsidR="00827C42" w:rsidRDefault="00827C42" w:rsidP="002F73D2">
      <w:pPr>
        <w:adjustRightInd w:val="0"/>
        <w:snapToGrid w:val="0"/>
        <w:rPr>
          <w:sz w:val="28"/>
          <w:szCs w:val="22"/>
        </w:rPr>
      </w:pPr>
    </w:p>
    <w:p w:rsidR="008B74EB" w:rsidRDefault="008B74EB" w:rsidP="002F73D2">
      <w:pPr>
        <w:adjustRightInd w:val="0"/>
        <w:snapToGrid w:val="0"/>
        <w:rPr>
          <w:sz w:val="28"/>
          <w:szCs w:val="22"/>
        </w:rPr>
      </w:pPr>
    </w:p>
    <w:p w:rsidR="008B74EB" w:rsidRDefault="008B74EB" w:rsidP="002F73D2">
      <w:pPr>
        <w:adjustRightInd w:val="0"/>
        <w:snapToGrid w:val="0"/>
        <w:rPr>
          <w:sz w:val="28"/>
          <w:szCs w:val="22"/>
        </w:rPr>
      </w:pPr>
    </w:p>
    <w:p w:rsidR="008B74EB" w:rsidRDefault="008B74EB" w:rsidP="002F73D2">
      <w:pPr>
        <w:adjustRightInd w:val="0"/>
        <w:snapToGrid w:val="0"/>
        <w:rPr>
          <w:sz w:val="28"/>
          <w:szCs w:val="22"/>
        </w:rPr>
      </w:pPr>
    </w:p>
    <w:p w:rsidR="00E8502A" w:rsidRDefault="00E8502A" w:rsidP="002F73D2">
      <w:pPr>
        <w:adjustRightInd w:val="0"/>
        <w:snapToGrid w:val="0"/>
        <w:rPr>
          <w:sz w:val="28"/>
          <w:szCs w:val="22"/>
        </w:rPr>
      </w:pPr>
    </w:p>
    <w:p w:rsidR="00E8502A" w:rsidRDefault="00E8502A" w:rsidP="002F73D2">
      <w:pPr>
        <w:adjustRightInd w:val="0"/>
        <w:snapToGrid w:val="0"/>
        <w:rPr>
          <w:sz w:val="28"/>
          <w:szCs w:val="22"/>
        </w:rPr>
      </w:pPr>
    </w:p>
    <w:p w:rsidR="00BD560B" w:rsidRDefault="00BD560B" w:rsidP="002F73D2">
      <w:pPr>
        <w:adjustRightInd w:val="0"/>
        <w:snapToGrid w:val="0"/>
        <w:rPr>
          <w:sz w:val="28"/>
          <w:szCs w:val="22"/>
        </w:rPr>
      </w:pPr>
    </w:p>
    <w:p w:rsidR="00E8502A" w:rsidRDefault="00E8502A" w:rsidP="002F73D2">
      <w:pPr>
        <w:adjustRightInd w:val="0"/>
        <w:snapToGrid w:val="0"/>
        <w:rPr>
          <w:sz w:val="28"/>
          <w:szCs w:val="22"/>
        </w:rPr>
      </w:pPr>
    </w:p>
    <w:p w:rsidR="003649BD" w:rsidRPr="00E8502A" w:rsidRDefault="003649BD" w:rsidP="002F73D2">
      <w:pPr>
        <w:adjustRightInd w:val="0"/>
        <w:snapToGrid w:val="0"/>
        <w:rPr>
          <w:sz w:val="28"/>
          <w:szCs w:val="22"/>
        </w:rPr>
      </w:pPr>
    </w:p>
    <w:p w:rsidR="00DC7CEE" w:rsidRPr="00052A09" w:rsidRDefault="00861D70" w:rsidP="002F73D2">
      <w:pPr>
        <w:adjustRightInd w:val="0"/>
        <w:snapToGrid w:val="0"/>
        <w:rPr>
          <w:b/>
          <w:bCs/>
          <w:sz w:val="24"/>
          <w:szCs w:val="24"/>
        </w:rPr>
      </w:pPr>
      <w:r>
        <w:rPr>
          <w:rFonts w:hint="eastAsia"/>
          <w:b/>
          <w:bCs/>
          <w:sz w:val="24"/>
          <w:szCs w:val="24"/>
        </w:rPr>
        <w:lastRenderedPageBreak/>
        <w:t>Addition</w:t>
      </w:r>
      <w:r w:rsidR="00DC7CEE" w:rsidRPr="00052A09">
        <w:rPr>
          <w:b/>
          <w:bCs/>
          <w:sz w:val="24"/>
          <w:szCs w:val="24"/>
        </w:rPr>
        <w:t>al Methods</w:t>
      </w:r>
    </w:p>
    <w:p w:rsidR="00E8502A" w:rsidRPr="00052A09" w:rsidRDefault="00E8502A" w:rsidP="002F73D2">
      <w:pPr>
        <w:adjustRightInd w:val="0"/>
        <w:snapToGrid w:val="0"/>
        <w:rPr>
          <w:b/>
          <w:bCs/>
          <w:sz w:val="24"/>
          <w:szCs w:val="24"/>
        </w:rPr>
      </w:pPr>
    </w:p>
    <w:p w:rsidR="00DC7CEE" w:rsidRPr="00052A09" w:rsidRDefault="00DC7CEE" w:rsidP="002F73D2">
      <w:pPr>
        <w:adjustRightInd w:val="0"/>
        <w:snapToGrid w:val="0"/>
        <w:rPr>
          <w:i/>
          <w:sz w:val="24"/>
          <w:szCs w:val="24"/>
        </w:rPr>
      </w:pPr>
      <w:r w:rsidRPr="00052A09">
        <w:rPr>
          <w:i/>
          <w:sz w:val="24"/>
          <w:szCs w:val="24"/>
        </w:rPr>
        <w:t xml:space="preserve">Search </w:t>
      </w:r>
      <w:r w:rsidR="00BF24FF" w:rsidRPr="00052A09">
        <w:rPr>
          <w:rFonts w:hint="eastAsia"/>
          <w:i/>
          <w:sz w:val="24"/>
          <w:szCs w:val="24"/>
        </w:rPr>
        <w:t>S</w:t>
      </w:r>
      <w:r w:rsidRPr="00052A09">
        <w:rPr>
          <w:i/>
          <w:sz w:val="24"/>
          <w:szCs w:val="24"/>
        </w:rPr>
        <w:t>trategy</w:t>
      </w:r>
    </w:p>
    <w:p w:rsidR="00DC7CEE" w:rsidRPr="00052A09" w:rsidRDefault="00DC7CEE" w:rsidP="002F73D2">
      <w:pPr>
        <w:adjustRightInd w:val="0"/>
        <w:snapToGrid w:val="0"/>
        <w:rPr>
          <w:sz w:val="24"/>
          <w:szCs w:val="24"/>
        </w:rPr>
      </w:pPr>
      <w:r w:rsidRPr="00052A09">
        <w:rPr>
          <w:sz w:val="24"/>
          <w:szCs w:val="24"/>
        </w:rPr>
        <w:t>Our meta-analysis was conducted in accordance with the Preferred Reporting Items for Systematic Reviews and Meta-analysis (PRISMA) statement</w:t>
      </w:r>
      <w:r w:rsidR="008462A4" w:rsidRPr="00052A09">
        <w:rPr>
          <w:sz w:val="24"/>
          <w:szCs w:val="24"/>
        </w:rPr>
        <w:t>.</w:t>
      </w:r>
      <w:r w:rsidRPr="00052A09">
        <w:rPr>
          <w:sz w:val="24"/>
          <w:szCs w:val="24"/>
          <w:vertAlign w:val="superscript"/>
        </w:rPr>
        <w:t>1</w:t>
      </w:r>
      <w:r w:rsidRPr="00052A09">
        <w:rPr>
          <w:sz w:val="24"/>
          <w:szCs w:val="24"/>
        </w:rPr>
        <w:t xml:space="preserve"> Two investigators (</w:t>
      </w:r>
      <w:r w:rsidR="001A337B" w:rsidRPr="00052A09">
        <w:rPr>
          <w:rFonts w:hint="eastAsia"/>
          <w:sz w:val="24"/>
          <w:szCs w:val="24"/>
        </w:rPr>
        <w:t>D</w:t>
      </w:r>
      <w:r w:rsidR="008462A4" w:rsidRPr="00052A09">
        <w:rPr>
          <w:rFonts w:hint="eastAsia"/>
          <w:sz w:val="24"/>
          <w:szCs w:val="24"/>
        </w:rPr>
        <w:t>.</w:t>
      </w:r>
      <w:r w:rsidR="001A337B" w:rsidRPr="00052A09">
        <w:rPr>
          <w:rFonts w:hint="eastAsia"/>
          <w:sz w:val="24"/>
          <w:szCs w:val="24"/>
        </w:rPr>
        <w:t>F</w:t>
      </w:r>
      <w:r w:rsidR="008462A4" w:rsidRPr="00052A09">
        <w:rPr>
          <w:rFonts w:hint="eastAsia"/>
          <w:sz w:val="24"/>
          <w:szCs w:val="24"/>
        </w:rPr>
        <w:t>.</w:t>
      </w:r>
      <w:r w:rsidR="001A337B" w:rsidRPr="00052A09">
        <w:rPr>
          <w:rFonts w:hint="eastAsia"/>
          <w:sz w:val="24"/>
          <w:szCs w:val="24"/>
        </w:rPr>
        <w:t>Z</w:t>
      </w:r>
      <w:r w:rsidR="008462A4" w:rsidRPr="00052A09">
        <w:rPr>
          <w:rFonts w:hint="eastAsia"/>
          <w:sz w:val="24"/>
          <w:szCs w:val="24"/>
        </w:rPr>
        <w:t>.</w:t>
      </w:r>
      <w:r w:rsidR="001A337B" w:rsidRPr="00052A09">
        <w:rPr>
          <w:sz w:val="24"/>
          <w:szCs w:val="24"/>
        </w:rPr>
        <w:t xml:space="preserve"> and </w:t>
      </w:r>
      <w:r w:rsidR="001A337B" w:rsidRPr="00052A09">
        <w:rPr>
          <w:rFonts w:hint="eastAsia"/>
          <w:sz w:val="24"/>
          <w:szCs w:val="24"/>
        </w:rPr>
        <w:t>S</w:t>
      </w:r>
      <w:r w:rsidR="008462A4" w:rsidRPr="00052A09">
        <w:rPr>
          <w:rFonts w:hint="eastAsia"/>
          <w:sz w:val="24"/>
          <w:szCs w:val="24"/>
        </w:rPr>
        <w:t>.</w:t>
      </w:r>
      <w:r w:rsidR="001A337B" w:rsidRPr="00052A09">
        <w:rPr>
          <w:rFonts w:hint="eastAsia"/>
          <w:sz w:val="24"/>
          <w:szCs w:val="24"/>
        </w:rPr>
        <w:t>G</w:t>
      </w:r>
      <w:r w:rsidR="008462A4" w:rsidRPr="00052A09">
        <w:rPr>
          <w:rFonts w:hint="eastAsia"/>
          <w:sz w:val="24"/>
          <w:szCs w:val="24"/>
        </w:rPr>
        <w:t>.</w:t>
      </w:r>
      <w:r w:rsidRPr="00052A09">
        <w:rPr>
          <w:sz w:val="24"/>
          <w:szCs w:val="24"/>
        </w:rPr>
        <w:t>) independently searched Cochrane Library, Pubmed and Embase for pertinent studies examining the association</w:t>
      </w:r>
      <w:r w:rsidR="003B7FD0" w:rsidRPr="00052A09">
        <w:rPr>
          <w:rFonts w:hint="eastAsia"/>
          <w:sz w:val="24"/>
          <w:szCs w:val="24"/>
        </w:rPr>
        <w:t>s</w:t>
      </w:r>
      <w:r w:rsidRPr="00052A09">
        <w:rPr>
          <w:sz w:val="24"/>
          <w:szCs w:val="24"/>
        </w:rPr>
        <w:t xml:space="preserve"> between coagulation tests and the risk of PHI</w:t>
      </w:r>
      <w:r w:rsidR="008462A4" w:rsidRPr="00052A09">
        <w:rPr>
          <w:sz w:val="24"/>
          <w:szCs w:val="24"/>
        </w:rPr>
        <w:t>.</w:t>
      </w:r>
      <w:r w:rsidRPr="00052A09">
        <w:rPr>
          <w:sz w:val="24"/>
          <w:szCs w:val="24"/>
        </w:rPr>
        <w:t xml:space="preserve"> The specific search strategies are as follows:</w:t>
      </w:r>
    </w:p>
    <w:p w:rsidR="00DC7CEE" w:rsidRPr="00052A09" w:rsidRDefault="00DC7CEE" w:rsidP="002F73D2">
      <w:pPr>
        <w:adjustRightInd w:val="0"/>
        <w:snapToGrid w:val="0"/>
        <w:rPr>
          <w:b/>
          <w:bCs/>
          <w:sz w:val="24"/>
          <w:szCs w:val="24"/>
        </w:rPr>
      </w:pPr>
      <w:r w:rsidRPr="00052A09">
        <w:rPr>
          <w:b/>
          <w:bCs/>
          <w:sz w:val="24"/>
          <w:szCs w:val="24"/>
        </w:rPr>
        <w:t>Pubmed</w:t>
      </w:r>
      <w:r w:rsidRPr="00052A09">
        <w:rPr>
          <w:b/>
          <w:bCs/>
          <w:sz w:val="24"/>
          <w:szCs w:val="24"/>
        </w:rPr>
        <w:t>：</w:t>
      </w:r>
    </w:p>
    <w:p w:rsidR="00DC7CEE" w:rsidRPr="00052A09" w:rsidRDefault="00DC7CEE" w:rsidP="002F73D2">
      <w:pPr>
        <w:adjustRightInd w:val="0"/>
        <w:snapToGrid w:val="0"/>
        <w:rPr>
          <w:sz w:val="24"/>
          <w:szCs w:val="24"/>
        </w:rPr>
      </w:pPr>
      <w:r w:rsidRPr="00052A09">
        <w:rPr>
          <w:sz w:val="24"/>
          <w:szCs w:val="24"/>
        </w:rPr>
        <w:t>#1</w:t>
      </w:r>
      <w:r w:rsidR="008462A4" w:rsidRPr="00052A09">
        <w:rPr>
          <w:sz w:val="24"/>
          <w:szCs w:val="24"/>
        </w:rPr>
        <w:t>.</w:t>
      </w:r>
      <w:r w:rsidRPr="00052A09">
        <w:rPr>
          <w:sz w:val="24"/>
          <w:szCs w:val="24"/>
        </w:rPr>
        <w:t>((head or craniu* or crania* or cerebra* or cerebru* or capitis or brain* or forebrain* or skull* or hemispher* or intra-cran* or inter-cran*) and (injury or injuries or trauma or traumas or traumatic or damag* or wound* or fracture* or contusion*))</w:t>
      </w:r>
    </w:p>
    <w:p w:rsidR="00DC7CEE" w:rsidRPr="00052A09" w:rsidRDefault="00DC7CEE" w:rsidP="002F73D2">
      <w:pPr>
        <w:adjustRightInd w:val="0"/>
        <w:snapToGrid w:val="0"/>
        <w:rPr>
          <w:sz w:val="24"/>
          <w:szCs w:val="24"/>
        </w:rPr>
      </w:pPr>
      <w:r w:rsidRPr="00052A09">
        <w:rPr>
          <w:sz w:val="24"/>
          <w:szCs w:val="24"/>
        </w:rPr>
        <w:t>#2</w:t>
      </w:r>
      <w:r w:rsidR="008462A4" w:rsidRPr="00052A09">
        <w:rPr>
          <w:sz w:val="24"/>
          <w:szCs w:val="24"/>
        </w:rPr>
        <w:t>.</w:t>
      </w:r>
      <w:r w:rsidRPr="00052A09">
        <w:rPr>
          <w:sz w:val="24"/>
          <w:szCs w:val="24"/>
        </w:rPr>
        <w:t xml:space="preserve">((delayed OR progressive OR secondary) AND (intracranial OR intracerebral) AND (hemorrhage OR hematoma)) OR HPC OR hemorrhagic progression of a contusion OR DTICH OR progressive hemorrhagic injury OR PHI OR PHI </w:t>
      </w:r>
    </w:p>
    <w:p w:rsidR="00DC7CEE" w:rsidRPr="00052A09" w:rsidRDefault="00DC7CEE" w:rsidP="002F73D2">
      <w:pPr>
        <w:adjustRightInd w:val="0"/>
        <w:snapToGrid w:val="0"/>
        <w:rPr>
          <w:sz w:val="24"/>
          <w:szCs w:val="24"/>
        </w:rPr>
      </w:pPr>
      <w:r w:rsidRPr="00052A09">
        <w:rPr>
          <w:sz w:val="24"/>
          <w:szCs w:val="24"/>
        </w:rPr>
        <w:t>#3</w:t>
      </w:r>
      <w:r w:rsidR="008462A4" w:rsidRPr="00052A09">
        <w:rPr>
          <w:sz w:val="24"/>
          <w:szCs w:val="24"/>
        </w:rPr>
        <w:t>.</w:t>
      </w:r>
      <w:r w:rsidRPr="00052A09">
        <w:rPr>
          <w:sz w:val="24"/>
          <w:szCs w:val="24"/>
        </w:rPr>
        <w:t xml:space="preserve">PLT OR platelet counts OR PT OR prothrombin time OR D-dimer OR FDP OR Fg OR INR OR international </w:t>
      </w:r>
      <w:r w:rsidR="00A8599C" w:rsidRPr="00052A09">
        <w:rPr>
          <w:sz w:val="24"/>
          <w:szCs w:val="24"/>
        </w:rPr>
        <w:t>normalized</w:t>
      </w:r>
      <w:r w:rsidRPr="00052A09">
        <w:rPr>
          <w:sz w:val="24"/>
          <w:szCs w:val="24"/>
        </w:rPr>
        <w:t xml:space="preserve"> ratio OR fibrinogen OR fibrin OR fibrin degradation product OR fibrinogen degradation product OR coagulation OR coagulopathy OR PTT OR partial thromboplastin time OR DIC OR disseminated intravascular coagulation</w:t>
      </w:r>
    </w:p>
    <w:p w:rsidR="00656FBA" w:rsidRPr="00052A09" w:rsidRDefault="00656FBA" w:rsidP="002F73D2">
      <w:pPr>
        <w:adjustRightInd w:val="0"/>
        <w:snapToGrid w:val="0"/>
        <w:rPr>
          <w:sz w:val="24"/>
          <w:szCs w:val="24"/>
        </w:rPr>
      </w:pPr>
      <w:r w:rsidRPr="00052A09">
        <w:rPr>
          <w:rFonts w:hint="eastAsia"/>
          <w:sz w:val="24"/>
          <w:szCs w:val="24"/>
        </w:rPr>
        <w:t>#4. #1 and #2 and #3</w:t>
      </w:r>
    </w:p>
    <w:p w:rsidR="00DC7CEE" w:rsidRPr="00052A09" w:rsidRDefault="00DC7CEE" w:rsidP="002F73D2">
      <w:pPr>
        <w:adjustRightInd w:val="0"/>
        <w:snapToGrid w:val="0"/>
        <w:rPr>
          <w:b/>
          <w:bCs/>
          <w:sz w:val="24"/>
          <w:szCs w:val="24"/>
        </w:rPr>
      </w:pPr>
      <w:r w:rsidRPr="00052A09">
        <w:rPr>
          <w:b/>
          <w:bCs/>
          <w:sz w:val="24"/>
          <w:szCs w:val="24"/>
        </w:rPr>
        <w:t>Embase</w:t>
      </w:r>
    </w:p>
    <w:p w:rsidR="00DC7CEE" w:rsidRPr="00052A09" w:rsidRDefault="00DC7CEE" w:rsidP="002F73D2">
      <w:pPr>
        <w:adjustRightInd w:val="0"/>
        <w:snapToGrid w:val="0"/>
        <w:rPr>
          <w:sz w:val="24"/>
          <w:szCs w:val="24"/>
        </w:rPr>
      </w:pPr>
      <w:r w:rsidRPr="00052A09">
        <w:rPr>
          <w:sz w:val="24"/>
          <w:szCs w:val="24"/>
        </w:rPr>
        <w:t>#1</w:t>
      </w:r>
      <w:r w:rsidR="008462A4" w:rsidRPr="00052A09">
        <w:rPr>
          <w:sz w:val="24"/>
          <w:szCs w:val="24"/>
        </w:rPr>
        <w:t>.</w:t>
      </w:r>
      <w:r w:rsidRPr="00052A09">
        <w:rPr>
          <w:sz w:val="24"/>
          <w:szCs w:val="24"/>
        </w:rPr>
        <w:t xml:space="preserve">head OR cranial OR cerebral OR brain OR skull </w:t>
      </w:r>
      <w:r w:rsidR="00A964CC" w:rsidRPr="00052A09">
        <w:rPr>
          <w:sz w:val="24"/>
          <w:szCs w:val="24"/>
        </w:rPr>
        <w:t>OR intracranial OR int</w:t>
      </w:r>
      <w:r w:rsidR="00A964CC" w:rsidRPr="00052A09">
        <w:rPr>
          <w:rFonts w:hint="eastAsia"/>
          <w:sz w:val="24"/>
          <w:szCs w:val="24"/>
        </w:rPr>
        <w:t>ra</w:t>
      </w:r>
      <w:r w:rsidRPr="00052A09">
        <w:rPr>
          <w:sz w:val="24"/>
          <w:szCs w:val="24"/>
        </w:rPr>
        <w:t>cerebral</w:t>
      </w:r>
    </w:p>
    <w:p w:rsidR="00DC7CEE" w:rsidRPr="00052A09" w:rsidRDefault="00DC7CEE" w:rsidP="002F73D2">
      <w:pPr>
        <w:adjustRightInd w:val="0"/>
        <w:snapToGrid w:val="0"/>
        <w:rPr>
          <w:sz w:val="24"/>
          <w:szCs w:val="24"/>
        </w:rPr>
      </w:pPr>
      <w:r w:rsidRPr="00052A09">
        <w:rPr>
          <w:sz w:val="24"/>
          <w:szCs w:val="24"/>
        </w:rPr>
        <w:t>#2</w:t>
      </w:r>
      <w:r w:rsidR="008462A4" w:rsidRPr="00052A09">
        <w:rPr>
          <w:sz w:val="24"/>
          <w:szCs w:val="24"/>
        </w:rPr>
        <w:t>.</w:t>
      </w:r>
      <w:r w:rsidRPr="00052A09">
        <w:rPr>
          <w:sz w:val="24"/>
          <w:szCs w:val="24"/>
        </w:rPr>
        <w:t xml:space="preserve">injury OR injuries OR trauma OR traumas OR traumatic OR damage OR wound OR fracture OR contusion                   </w:t>
      </w:r>
    </w:p>
    <w:p w:rsidR="00DC7CEE" w:rsidRPr="00052A09" w:rsidRDefault="00DC7CEE" w:rsidP="002F73D2">
      <w:pPr>
        <w:adjustRightInd w:val="0"/>
        <w:snapToGrid w:val="0"/>
        <w:rPr>
          <w:sz w:val="24"/>
          <w:szCs w:val="24"/>
        </w:rPr>
      </w:pPr>
      <w:r w:rsidRPr="00052A09">
        <w:rPr>
          <w:sz w:val="24"/>
          <w:szCs w:val="24"/>
        </w:rPr>
        <w:t>#3</w:t>
      </w:r>
      <w:r w:rsidR="008462A4" w:rsidRPr="00052A09">
        <w:rPr>
          <w:sz w:val="24"/>
          <w:szCs w:val="24"/>
        </w:rPr>
        <w:t>.</w:t>
      </w:r>
      <w:r w:rsidRPr="00052A09">
        <w:rPr>
          <w:sz w:val="24"/>
          <w:szCs w:val="24"/>
        </w:rPr>
        <w:t xml:space="preserve">#1 and #2                       </w:t>
      </w:r>
    </w:p>
    <w:p w:rsidR="00DC7CEE" w:rsidRPr="00052A09" w:rsidRDefault="00DC7CEE" w:rsidP="002F73D2">
      <w:pPr>
        <w:adjustRightInd w:val="0"/>
        <w:snapToGrid w:val="0"/>
        <w:rPr>
          <w:sz w:val="24"/>
          <w:szCs w:val="24"/>
        </w:rPr>
      </w:pPr>
      <w:r w:rsidRPr="00052A09">
        <w:rPr>
          <w:sz w:val="24"/>
          <w:szCs w:val="24"/>
        </w:rPr>
        <w:t>#4</w:t>
      </w:r>
      <w:r w:rsidR="008462A4" w:rsidRPr="00052A09">
        <w:rPr>
          <w:sz w:val="24"/>
          <w:szCs w:val="24"/>
        </w:rPr>
        <w:t>.</w:t>
      </w:r>
      <w:r w:rsidRPr="00052A09">
        <w:rPr>
          <w:sz w:val="24"/>
          <w:szCs w:val="24"/>
        </w:rPr>
        <w:t xml:space="preserve">delayed OR progressive OR secondary            </w:t>
      </w:r>
    </w:p>
    <w:p w:rsidR="00DC7CEE" w:rsidRPr="00052A09" w:rsidRDefault="00DC7CEE" w:rsidP="002F73D2">
      <w:pPr>
        <w:adjustRightInd w:val="0"/>
        <w:snapToGrid w:val="0"/>
        <w:rPr>
          <w:sz w:val="24"/>
          <w:szCs w:val="24"/>
        </w:rPr>
      </w:pPr>
      <w:r w:rsidRPr="00052A09">
        <w:rPr>
          <w:sz w:val="24"/>
          <w:szCs w:val="24"/>
        </w:rPr>
        <w:t>#5</w:t>
      </w:r>
      <w:r w:rsidR="008462A4" w:rsidRPr="00052A09">
        <w:rPr>
          <w:sz w:val="24"/>
          <w:szCs w:val="24"/>
        </w:rPr>
        <w:t>.</w:t>
      </w:r>
      <w:r w:rsidRPr="00052A09">
        <w:rPr>
          <w:sz w:val="24"/>
          <w:szCs w:val="24"/>
        </w:rPr>
        <w:t>intracranial OR intracerebral</w:t>
      </w:r>
    </w:p>
    <w:p w:rsidR="00DC7CEE" w:rsidRPr="00052A09" w:rsidRDefault="00DC7CEE" w:rsidP="002F73D2">
      <w:pPr>
        <w:adjustRightInd w:val="0"/>
        <w:snapToGrid w:val="0"/>
        <w:rPr>
          <w:sz w:val="24"/>
          <w:szCs w:val="24"/>
        </w:rPr>
      </w:pPr>
      <w:r w:rsidRPr="00052A09">
        <w:rPr>
          <w:sz w:val="24"/>
          <w:szCs w:val="24"/>
        </w:rPr>
        <w:t>#6</w:t>
      </w:r>
      <w:r w:rsidR="008462A4" w:rsidRPr="00052A09">
        <w:rPr>
          <w:sz w:val="24"/>
          <w:szCs w:val="24"/>
        </w:rPr>
        <w:t>.</w:t>
      </w:r>
      <w:r w:rsidRPr="00052A09">
        <w:rPr>
          <w:sz w:val="24"/>
          <w:szCs w:val="24"/>
        </w:rPr>
        <w:t xml:space="preserve">hemorrhage OR hematoma                               </w:t>
      </w:r>
    </w:p>
    <w:p w:rsidR="00DC7CEE" w:rsidRPr="00052A09" w:rsidRDefault="00DC7CEE" w:rsidP="002F73D2">
      <w:pPr>
        <w:adjustRightInd w:val="0"/>
        <w:snapToGrid w:val="0"/>
        <w:rPr>
          <w:sz w:val="24"/>
          <w:szCs w:val="24"/>
        </w:rPr>
      </w:pPr>
      <w:r w:rsidRPr="00052A09">
        <w:rPr>
          <w:sz w:val="24"/>
          <w:szCs w:val="24"/>
        </w:rPr>
        <w:t>#7</w:t>
      </w:r>
      <w:r w:rsidR="008462A4" w:rsidRPr="00052A09">
        <w:rPr>
          <w:sz w:val="24"/>
          <w:szCs w:val="24"/>
        </w:rPr>
        <w:t>.</w:t>
      </w:r>
      <w:r w:rsidRPr="00052A09">
        <w:rPr>
          <w:sz w:val="24"/>
          <w:szCs w:val="24"/>
        </w:rPr>
        <w:t xml:space="preserve">#6 and #4 and #5                         </w:t>
      </w:r>
    </w:p>
    <w:p w:rsidR="00DC7CEE" w:rsidRPr="00052A09" w:rsidRDefault="00DC7CEE" w:rsidP="002F73D2">
      <w:pPr>
        <w:adjustRightInd w:val="0"/>
        <w:snapToGrid w:val="0"/>
        <w:rPr>
          <w:sz w:val="24"/>
          <w:szCs w:val="24"/>
        </w:rPr>
      </w:pPr>
      <w:r w:rsidRPr="00052A09">
        <w:rPr>
          <w:sz w:val="24"/>
          <w:szCs w:val="24"/>
        </w:rPr>
        <w:t>#8</w:t>
      </w:r>
      <w:r w:rsidR="008462A4" w:rsidRPr="00052A09">
        <w:rPr>
          <w:sz w:val="24"/>
          <w:szCs w:val="24"/>
        </w:rPr>
        <w:t>.</w:t>
      </w:r>
      <w:r w:rsidRPr="00052A09">
        <w:rPr>
          <w:sz w:val="24"/>
          <w:szCs w:val="24"/>
        </w:rPr>
        <w:t>HPC OR ‘hemorrhagic progression of a contusion’ OR DTICH OR ‘progressive hemorrhagic injury’ OR PHI OR P</w:t>
      </w:r>
      <w:r w:rsidR="00BB3016" w:rsidRPr="00052A09">
        <w:rPr>
          <w:sz w:val="24"/>
          <w:szCs w:val="24"/>
        </w:rPr>
        <w:t>I</w:t>
      </w:r>
      <w:r w:rsidRPr="00052A09">
        <w:rPr>
          <w:sz w:val="24"/>
          <w:szCs w:val="24"/>
        </w:rPr>
        <w:t xml:space="preserve">H              </w:t>
      </w:r>
    </w:p>
    <w:p w:rsidR="00DC7CEE" w:rsidRPr="00052A09" w:rsidRDefault="00DC7CEE" w:rsidP="002F73D2">
      <w:pPr>
        <w:adjustRightInd w:val="0"/>
        <w:snapToGrid w:val="0"/>
        <w:rPr>
          <w:sz w:val="24"/>
          <w:szCs w:val="24"/>
        </w:rPr>
      </w:pPr>
      <w:r w:rsidRPr="00052A09">
        <w:rPr>
          <w:sz w:val="24"/>
          <w:szCs w:val="24"/>
        </w:rPr>
        <w:t>#9</w:t>
      </w:r>
      <w:r w:rsidR="008462A4" w:rsidRPr="00052A09">
        <w:rPr>
          <w:sz w:val="24"/>
          <w:szCs w:val="24"/>
        </w:rPr>
        <w:t>.</w:t>
      </w:r>
      <w:r w:rsidRPr="00052A09">
        <w:rPr>
          <w:sz w:val="24"/>
          <w:szCs w:val="24"/>
        </w:rPr>
        <w:t xml:space="preserve">#8 or #7                                       </w:t>
      </w:r>
    </w:p>
    <w:p w:rsidR="00DC7CEE" w:rsidRPr="00052A09" w:rsidRDefault="00DC7CEE" w:rsidP="002F73D2">
      <w:pPr>
        <w:adjustRightInd w:val="0"/>
        <w:snapToGrid w:val="0"/>
        <w:rPr>
          <w:sz w:val="24"/>
          <w:szCs w:val="24"/>
        </w:rPr>
      </w:pPr>
      <w:r w:rsidRPr="00052A09">
        <w:rPr>
          <w:sz w:val="24"/>
          <w:szCs w:val="24"/>
        </w:rPr>
        <w:t>#10</w:t>
      </w:r>
      <w:r w:rsidR="008462A4" w:rsidRPr="00052A09">
        <w:rPr>
          <w:sz w:val="24"/>
          <w:szCs w:val="24"/>
        </w:rPr>
        <w:t>.</w:t>
      </w:r>
      <w:r w:rsidRPr="00052A09">
        <w:rPr>
          <w:sz w:val="24"/>
          <w:szCs w:val="24"/>
        </w:rPr>
        <w:t xml:space="preserve">PLT OR ‘platelet count’ OR PT OR ‘prothrombin time’ OR ‘D-dimer’ OR FDP OR Fg OR INR OR ‘international </w:t>
      </w:r>
      <w:r w:rsidR="00A8599C" w:rsidRPr="00052A09">
        <w:rPr>
          <w:sz w:val="24"/>
          <w:szCs w:val="24"/>
        </w:rPr>
        <w:t>normalized</w:t>
      </w:r>
      <w:r w:rsidRPr="00052A09">
        <w:rPr>
          <w:sz w:val="24"/>
          <w:szCs w:val="24"/>
        </w:rPr>
        <w:t xml:space="preserve"> ratio’ OR fibrinogen OR fibrin OR ‘fibrin degradation product’ OR ‘fibrinogen degradation product’ OR coagulation OR coagulopathy OR PTT OR ‘partial thromboplastin time’ OR DIC OR ‘disseminated intravascular coagulation’ </w:t>
      </w:r>
    </w:p>
    <w:p w:rsidR="00DC7CEE" w:rsidRPr="00052A09" w:rsidRDefault="00DC7CEE" w:rsidP="002F73D2">
      <w:pPr>
        <w:adjustRightInd w:val="0"/>
        <w:snapToGrid w:val="0"/>
        <w:rPr>
          <w:sz w:val="24"/>
          <w:szCs w:val="24"/>
        </w:rPr>
      </w:pPr>
      <w:r w:rsidRPr="00052A09">
        <w:rPr>
          <w:sz w:val="24"/>
          <w:szCs w:val="24"/>
        </w:rPr>
        <w:t>#11</w:t>
      </w:r>
      <w:r w:rsidR="008462A4" w:rsidRPr="00052A09">
        <w:rPr>
          <w:sz w:val="24"/>
          <w:szCs w:val="24"/>
        </w:rPr>
        <w:t>.</w:t>
      </w:r>
      <w:r w:rsidRPr="00052A09">
        <w:rPr>
          <w:sz w:val="24"/>
          <w:szCs w:val="24"/>
        </w:rPr>
        <w:t>#3 and #9 and #10</w:t>
      </w:r>
    </w:p>
    <w:p w:rsidR="00DC7CEE" w:rsidRPr="00052A09" w:rsidRDefault="00DC7CEE" w:rsidP="002F73D2">
      <w:pPr>
        <w:adjustRightInd w:val="0"/>
        <w:snapToGrid w:val="0"/>
        <w:rPr>
          <w:sz w:val="24"/>
          <w:szCs w:val="24"/>
        </w:rPr>
      </w:pPr>
      <w:r w:rsidRPr="00052A09">
        <w:rPr>
          <w:sz w:val="24"/>
          <w:szCs w:val="24"/>
        </w:rPr>
        <w:t>#12</w:t>
      </w:r>
      <w:r w:rsidR="008462A4" w:rsidRPr="00052A09">
        <w:rPr>
          <w:sz w:val="24"/>
          <w:szCs w:val="24"/>
        </w:rPr>
        <w:t>.</w:t>
      </w:r>
      <w:r w:rsidRPr="00052A09">
        <w:rPr>
          <w:sz w:val="24"/>
          <w:szCs w:val="24"/>
        </w:rPr>
        <w:t>#3 AND #9 AND #10 AND [english]/lim AND [1970-2014]/py</w:t>
      </w:r>
    </w:p>
    <w:p w:rsidR="00DC7CEE" w:rsidRPr="00052A09" w:rsidRDefault="00DC7CEE" w:rsidP="002F73D2">
      <w:pPr>
        <w:adjustRightInd w:val="0"/>
        <w:snapToGrid w:val="0"/>
        <w:rPr>
          <w:b/>
          <w:bCs/>
          <w:sz w:val="24"/>
          <w:szCs w:val="24"/>
        </w:rPr>
      </w:pPr>
      <w:r w:rsidRPr="00052A09">
        <w:rPr>
          <w:b/>
          <w:bCs/>
          <w:sz w:val="24"/>
          <w:szCs w:val="24"/>
        </w:rPr>
        <w:t>Cochrane Library</w:t>
      </w:r>
    </w:p>
    <w:p w:rsidR="00DC7CEE" w:rsidRPr="00052A09" w:rsidRDefault="00DC7CEE" w:rsidP="002F73D2">
      <w:pPr>
        <w:adjustRightInd w:val="0"/>
        <w:snapToGrid w:val="0"/>
        <w:rPr>
          <w:sz w:val="24"/>
          <w:szCs w:val="24"/>
        </w:rPr>
      </w:pPr>
      <w:r w:rsidRPr="00052A09">
        <w:rPr>
          <w:sz w:val="24"/>
          <w:szCs w:val="24"/>
        </w:rPr>
        <w:t>#1</w:t>
      </w:r>
      <w:r w:rsidR="008462A4" w:rsidRPr="00052A09">
        <w:rPr>
          <w:sz w:val="24"/>
          <w:szCs w:val="24"/>
        </w:rPr>
        <w:t>.</w:t>
      </w:r>
      <w:r w:rsidRPr="00052A09">
        <w:rPr>
          <w:sz w:val="24"/>
          <w:szCs w:val="24"/>
        </w:rPr>
        <w:t>(head or crani* or cerebr* or capitis or brain* or forebrain* or skull* or hemispher* or intra-cran* or inter-cran*) near3 (injur* or trauma* or damag* or wound* or fracture* or contusion*) :ti,ab,kw (Word variations have been searched)</w:t>
      </w:r>
    </w:p>
    <w:p w:rsidR="00DC7CEE" w:rsidRPr="00052A09" w:rsidRDefault="00DC7CEE" w:rsidP="002F73D2">
      <w:pPr>
        <w:adjustRightInd w:val="0"/>
        <w:snapToGrid w:val="0"/>
        <w:rPr>
          <w:sz w:val="24"/>
          <w:szCs w:val="24"/>
        </w:rPr>
      </w:pPr>
      <w:r w:rsidRPr="00052A09">
        <w:rPr>
          <w:sz w:val="24"/>
          <w:szCs w:val="24"/>
        </w:rPr>
        <w:t>#2</w:t>
      </w:r>
      <w:r w:rsidR="008462A4" w:rsidRPr="00052A09">
        <w:rPr>
          <w:sz w:val="24"/>
          <w:szCs w:val="24"/>
        </w:rPr>
        <w:t>.</w:t>
      </w:r>
      <w:r w:rsidRPr="00052A09">
        <w:rPr>
          <w:sz w:val="24"/>
          <w:szCs w:val="24"/>
        </w:rPr>
        <w:t>((delayed OR progressive OR secondary) AND (intracranial OR intracerebra</w:t>
      </w:r>
      <w:r w:rsidR="004735A8" w:rsidRPr="00052A09">
        <w:rPr>
          <w:sz w:val="24"/>
          <w:szCs w:val="24"/>
        </w:rPr>
        <w:t>l) AND (hemorrhage OR hematoma)</w:t>
      </w:r>
      <w:r w:rsidRPr="00052A09">
        <w:rPr>
          <w:sz w:val="24"/>
          <w:szCs w:val="24"/>
        </w:rPr>
        <w:t xml:space="preserve">) OR HPC OR hemorrhagic progression of a contusion OR DTICH OR progressive hemorrhagic injury OR PHI OR PHI:ti,ab,kw (Word variations have been searched)  </w:t>
      </w:r>
    </w:p>
    <w:p w:rsidR="00DC7CEE" w:rsidRPr="00052A09" w:rsidRDefault="00DC7CEE" w:rsidP="002F73D2">
      <w:pPr>
        <w:adjustRightInd w:val="0"/>
        <w:snapToGrid w:val="0"/>
        <w:rPr>
          <w:sz w:val="24"/>
          <w:szCs w:val="24"/>
        </w:rPr>
      </w:pPr>
      <w:r w:rsidRPr="00052A09">
        <w:rPr>
          <w:sz w:val="24"/>
          <w:szCs w:val="24"/>
        </w:rPr>
        <w:t>#3</w:t>
      </w:r>
      <w:r w:rsidR="008462A4" w:rsidRPr="00052A09">
        <w:rPr>
          <w:sz w:val="24"/>
          <w:szCs w:val="24"/>
        </w:rPr>
        <w:t>.</w:t>
      </w:r>
      <w:r w:rsidRPr="00052A09">
        <w:rPr>
          <w:sz w:val="24"/>
          <w:szCs w:val="24"/>
        </w:rPr>
        <w:t xml:space="preserve">PLT OR platelet counts OR PT OR prothrombin time OR D-dimer OR FDP OR Fg OR INR OR international </w:t>
      </w:r>
      <w:r w:rsidR="00A8599C" w:rsidRPr="00052A09">
        <w:rPr>
          <w:sz w:val="24"/>
          <w:szCs w:val="24"/>
        </w:rPr>
        <w:t>normalized</w:t>
      </w:r>
      <w:r w:rsidRPr="00052A09">
        <w:rPr>
          <w:sz w:val="24"/>
          <w:szCs w:val="24"/>
        </w:rPr>
        <w:t xml:space="preserve"> ratio OR fibrinogen OR fibrin OR fibrin degradation product OR fibrinogen degradation product OR coagulation OR coagulopathy OR PTT OR partial thromboplastin time OR DIC OR disseminated intravascular coagulation                                           </w:t>
      </w:r>
    </w:p>
    <w:p w:rsidR="00E8502A" w:rsidRPr="00052A09" w:rsidRDefault="00DC7CEE" w:rsidP="002F73D2">
      <w:pPr>
        <w:adjustRightInd w:val="0"/>
        <w:snapToGrid w:val="0"/>
        <w:rPr>
          <w:sz w:val="24"/>
          <w:szCs w:val="24"/>
        </w:rPr>
      </w:pPr>
      <w:r w:rsidRPr="00052A09">
        <w:rPr>
          <w:sz w:val="24"/>
          <w:szCs w:val="24"/>
        </w:rPr>
        <w:lastRenderedPageBreak/>
        <w:t>#4</w:t>
      </w:r>
      <w:r w:rsidR="008462A4" w:rsidRPr="00052A09">
        <w:rPr>
          <w:sz w:val="24"/>
          <w:szCs w:val="24"/>
        </w:rPr>
        <w:t>.</w:t>
      </w:r>
      <w:r w:rsidRPr="00052A09">
        <w:rPr>
          <w:sz w:val="24"/>
          <w:szCs w:val="24"/>
        </w:rPr>
        <w:t xml:space="preserve"> #1 and #2 and #3 </w:t>
      </w:r>
    </w:p>
    <w:p w:rsidR="00DC7CEE" w:rsidRPr="00052A09" w:rsidRDefault="00DC7CEE" w:rsidP="002F73D2">
      <w:pPr>
        <w:adjustRightInd w:val="0"/>
        <w:snapToGrid w:val="0"/>
        <w:rPr>
          <w:sz w:val="24"/>
          <w:szCs w:val="24"/>
        </w:rPr>
      </w:pPr>
    </w:p>
    <w:p w:rsidR="00DC7CEE" w:rsidRPr="00052A09" w:rsidRDefault="00DC7CEE" w:rsidP="002F73D2">
      <w:pPr>
        <w:adjustRightInd w:val="0"/>
        <w:snapToGrid w:val="0"/>
        <w:rPr>
          <w:i/>
          <w:sz w:val="24"/>
          <w:szCs w:val="24"/>
        </w:rPr>
      </w:pPr>
      <w:r w:rsidRPr="00052A09">
        <w:rPr>
          <w:i/>
          <w:sz w:val="24"/>
          <w:szCs w:val="24"/>
        </w:rPr>
        <w:t>Selection Criteria</w:t>
      </w:r>
    </w:p>
    <w:p w:rsidR="00DC7CEE" w:rsidRPr="00052A09" w:rsidRDefault="00DC7CEE" w:rsidP="002F73D2">
      <w:pPr>
        <w:adjustRightInd w:val="0"/>
        <w:snapToGrid w:val="0"/>
        <w:rPr>
          <w:sz w:val="24"/>
          <w:szCs w:val="24"/>
        </w:rPr>
      </w:pPr>
      <w:r w:rsidRPr="00052A09">
        <w:rPr>
          <w:sz w:val="24"/>
          <w:szCs w:val="24"/>
        </w:rPr>
        <w:t>Studies were considered eligible if they were controlled observational studies</w:t>
      </w:r>
      <w:r w:rsidRPr="00052A09">
        <w:rPr>
          <w:rFonts w:hint="eastAsia"/>
          <w:sz w:val="24"/>
          <w:szCs w:val="24"/>
        </w:rPr>
        <w:t xml:space="preserve"> and</w:t>
      </w:r>
      <w:r w:rsidRPr="00052A09">
        <w:rPr>
          <w:sz w:val="24"/>
          <w:szCs w:val="24"/>
        </w:rPr>
        <w:t xml:space="preserve"> included people suffering traumatic brain injury</w:t>
      </w:r>
      <w:r w:rsidR="00F567AB" w:rsidRPr="00052A09">
        <w:rPr>
          <w:rFonts w:hint="eastAsia"/>
          <w:sz w:val="24"/>
          <w:szCs w:val="24"/>
        </w:rPr>
        <w:t xml:space="preserve"> (TBI)</w:t>
      </w:r>
      <w:r w:rsidR="008462A4" w:rsidRPr="00052A09">
        <w:rPr>
          <w:rFonts w:hint="eastAsia"/>
          <w:sz w:val="24"/>
          <w:szCs w:val="24"/>
        </w:rPr>
        <w:t>.</w:t>
      </w:r>
      <w:r w:rsidRPr="00052A09">
        <w:rPr>
          <w:sz w:val="24"/>
          <w:szCs w:val="24"/>
        </w:rPr>
        <w:t>T</w:t>
      </w:r>
      <w:r w:rsidRPr="00052A09">
        <w:rPr>
          <w:rFonts w:hint="eastAsia"/>
          <w:sz w:val="24"/>
          <w:szCs w:val="24"/>
        </w:rPr>
        <w:t>hey should</w:t>
      </w:r>
      <w:r w:rsidRPr="00052A09">
        <w:rPr>
          <w:sz w:val="24"/>
          <w:szCs w:val="24"/>
        </w:rPr>
        <w:t xml:space="preserve"> investigate the relationship between the abnormal coagulation tests and </w:t>
      </w:r>
      <w:r w:rsidR="00F567AB" w:rsidRPr="00052A09">
        <w:rPr>
          <w:rFonts w:hint="eastAsia"/>
          <w:sz w:val="24"/>
          <w:szCs w:val="24"/>
        </w:rPr>
        <w:t>p</w:t>
      </w:r>
      <w:r w:rsidR="00F567AB" w:rsidRPr="00052A09">
        <w:rPr>
          <w:sz w:val="24"/>
          <w:szCs w:val="24"/>
        </w:rPr>
        <w:t xml:space="preserve">rogressive hemorrhagic injury </w:t>
      </w:r>
      <w:r w:rsidR="00F567AB" w:rsidRPr="00052A09">
        <w:rPr>
          <w:rFonts w:hint="eastAsia"/>
          <w:sz w:val="24"/>
          <w:szCs w:val="24"/>
        </w:rPr>
        <w:t>(</w:t>
      </w:r>
      <w:r w:rsidRPr="00052A09">
        <w:rPr>
          <w:sz w:val="24"/>
          <w:szCs w:val="24"/>
        </w:rPr>
        <w:t>PHI</w:t>
      </w:r>
      <w:r w:rsidR="00F567AB" w:rsidRPr="00052A09">
        <w:rPr>
          <w:rFonts w:hint="eastAsia"/>
          <w:sz w:val="24"/>
          <w:szCs w:val="24"/>
        </w:rPr>
        <w:t>)</w:t>
      </w:r>
      <w:r w:rsidRPr="00052A09">
        <w:rPr>
          <w:sz w:val="24"/>
          <w:szCs w:val="24"/>
        </w:rPr>
        <w:t xml:space="preserve">, which is strictly defined by </w:t>
      </w:r>
      <w:r w:rsidR="00A966E9" w:rsidRPr="00052A09">
        <w:rPr>
          <w:rFonts w:hint="eastAsia"/>
          <w:sz w:val="24"/>
          <w:szCs w:val="24"/>
        </w:rPr>
        <w:t xml:space="preserve">the </w:t>
      </w:r>
      <w:r w:rsidRPr="00052A09">
        <w:rPr>
          <w:sz w:val="24"/>
          <w:szCs w:val="24"/>
        </w:rPr>
        <w:t>definition above</w:t>
      </w:r>
      <w:r w:rsidR="008462A4" w:rsidRPr="00052A09">
        <w:rPr>
          <w:sz w:val="24"/>
          <w:szCs w:val="24"/>
        </w:rPr>
        <w:t>.</w:t>
      </w:r>
      <w:r w:rsidRPr="00052A09">
        <w:rPr>
          <w:sz w:val="24"/>
          <w:szCs w:val="24"/>
        </w:rPr>
        <w:t xml:space="preserve"> Studies were excluded if they (1) provided data from case reports, reviews; (2) examined patients with pre-trauma coagulopathy or multiple injuries, burn injuries or major injuries in other body regions rather than </w:t>
      </w:r>
      <w:r w:rsidR="002A0DC9" w:rsidRPr="00052A09">
        <w:rPr>
          <w:rFonts w:hint="eastAsia"/>
          <w:sz w:val="24"/>
          <w:szCs w:val="24"/>
        </w:rPr>
        <w:t xml:space="preserve">the </w:t>
      </w:r>
      <w:r w:rsidRPr="00052A09">
        <w:rPr>
          <w:sz w:val="24"/>
          <w:szCs w:val="24"/>
        </w:rPr>
        <w:t>brain; (3) included children(&lt;</w:t>
      </w:r>
      <w:r w:rsidR="00F032D1" w:rsidRPr="00052A09">
        <w:rPr>
          <w:sz w:val="24"/>
          <w:szCs w:val="24"/>
        </w:rPr>
        <w:t>12</w:t>
      </w:r>
      <w:r w:rsidRPr="00052A09">
        <w:rPr>
          <w:sz w:val="24"/>
          <w:szCs w:val="24"/>
        </w:rPr>
        <w:t>y), because their clotting mechanism is different from that of adults’</w:t>
      </w:r>
      <w:r w:rsidR="00AF3984" w:rsidRPr="00052A09">
        <w:rPr>
          <w:rFonts w:hint="eastAsia"/>
          <w:sz w:val="24"/>
          <w:szCs w:val="24"/>
          <w:vertAlign w:val="superscript"/>
        </w:rPr>
        <w:t>2</w:t>
      </w:r>
      <w:r w:rsidRPr="00052A09">
        <w:rPr>
          <w:sz w:val="24"/>
          <w:szCs w:val="24"/>
        </w:rPr>
        <w:t>; (4) provided insufficient data for pooled analysis</w:t>
      </w:r>
      <w:r w:rsidR="008462A4" w:rsidRPr="00052A09">
        <w:rPr>
          <w:sz w:val="24"/>
          <w:szCs w:val="24"/>
        </w:rPr>
        <w:t>.</w:t>
      </w:r>
    </w:p>
    <w:p w:rsidR="00B2109F" w:rsidRPr="00052A09" w:rsidRDefault="00B2109F" w:rsidP="002F73D2">
      <w:pPr>
        <w:adjustRightInd w:val="0"/>
        <w:snapToGrid w:val="0"/>
        <w:rPr>
          <w:sz w:val="24"/>
          <w:szCs w:val="24"/>
        </w:rPr>
      </w:pPr>
    </w:p>
    <w:p w:rsidR="00DC7CEE" w:rsidRPr="00052A09" w:rsidRDefault="00DC7CEE" w:rsidP="002F73D2">
      <w:pPr>
        <w:adjustRightInd w:val="0"/>
        <w:snapToGrid w:val="0"/>
        <w:rPr>
          <w:i/>
          <w:sz w:val="24"/>
          <w:szCs w:val="24"/>
        </w:rPr>
      </w:pPr>
      <w:r w:rsidRPr="00052A09">
        <w:rPr>
          <w:i/>
          <w:sz w:val="24"/>
          <w:szCs w:val="24"/>
        </w:rPr>
        <w:t xml:space="preserve">Data Extraction and Quality Assessment </w:t>
      </w:r>
    </w:p>
    <w:p w:rsidR="00DC7CEE" w:rsidRPr="00052A09" w:rsidRDefault="0085305F" w:rsidP="002F73D2">
      <w:pPr>
        <w:adjustRightInd w:val="0"/>
        <w:snapToGrid w:val="0"/>
        <w:rPr>
          <w:sz w:val="24"/>
          <w:szCs w:val="24"/>
          <w:vertAlign w:val="superscript"/>
        </w:rPr>
      </w:pPr>
      <w:r w:rsidRPr="00052A09">
        <w:rPr>
          <w:sz w:val="24"/>
          <w:szCs w:val="24"/>
        </w:rPr>
        <w:t>Three reviewers (D</w:t>
      </w:r>
      <w:r w:rsidR="008462A4" w:rsidRPr="00052A09">
        <w:rPr>
          <w:sz w:val="24"/>
          <w:szCs w:val="24"/>
        </w:rPr>
        <w:t>.</w:t>
      </w:r>
      <w:r w:rsidRPr="00052A09">
        <w:rPr>
          <w:sz w:val="24"/>
          <w:szCs w:val="24"/>
        </w:rPr>
        <w:t>F</w:t>
      </w:r>
      <w:r w:rsidR="008462A4" w:rsidRPr="00052A09">
        <w:rPr>
          <w:sz w:val="24"/>
          <w:szCs w:val="24"/>
        </w:rPr>
        <w:t>.</w:t>
      </w:r>
      <w:r w:rsidRPr="00052A09">
        <w:rPr>
          <w:sz w:val="24"/>
          <w:szCs w:val="24"/>
        </w:rPr>
        <w:t>Z</w:t>
      </w:r>
      <w:r w:rsidR="008462A4" w:rsidRPr="00052A09">
        <w:rPr>
          <w:sz w:val="24"/>
          <w:szCs w:val="24"/>
        </w:rPr>
        <w:t>.</w:t>
      </w:r>
      <w:r w:rsidRPr="00052A09">
        <w:rPr>
          <w:sz w:val="24"/>
          <w:szCs w:val="24"/>
        </w:rPr>
        <w:t>, S</w:t>
      </w:r>
      <w:r w:rsidR="008462A4" w:rsidRPr="00052A09">
        <w:rPr>
          <w:sz w:val="24"/>
          <w:szCs w:val="24"/>
        </w:rPr>
        <w:t>.</w:t>
      </w:r>
      <w:r w:rsidRPr="00052A09">
        <w:rPr>
          <w:sz w:val="24"/>
          <w:szCs w:val="24"/>
        </w:rPr>
        <w:t>G</w:t>
      </w:r>
      <w:r w:rsidR="008B62B9" w:rsidRPr="00052A09">
        <w:rPr>
          <w:rFonts w:hint="eastAsia"/>
          <w:sz w:val="24"/>
          <w:szCs w:val="24"/>
        </w:rPr>
        <w:t>.</w:t>
      </w:r>
      <w:r w:rsidRPr="00052A09">
        <w:rPr>
          <w:sz w:val="24"/>
          <w:szCs w:val="24"/>
        </w:rPr>
        <w:t>, H</w:t>
      </w:r>
      <w:r w:rsidR="008462A4" w:rsidRPr="00052A09">
        <w:rPr>
          <w:sz w:val="24"/>
          <w:szCs w:val="24"/>
        </w:rPr>
        <w:t>.</w:t>
      </w:r>
      <w:r w:rsidRPr="00052A09">
        <w:rPr>
          <w:sz w:val="24"/>
          <w:szCs w:val="24"/>
        </w:rPr>
        <w:t>J</w:t>
      </w:r>
      <w:r w:rsidR="008462A4" w:rsidRPr="00052A09">
        <w:rPr>
          <w:sz w:val="24"/>
          <w:szCs w:val="24"/>
        </w:rPr>
        <w:t>.</w:t>
      </w:r>
      <w:r w:rsidRPr="00052A09">
        <w:rPr>
          <w:sz w:val="24"/>
          <w:szCs w:val="24"/>
        </w:rPr>
        <w:t>)</w:t>
      </w:r>
      <w:r w:rsidR="00DC7CEE" w:rsidRPr="00052A09">
        <w:rPr>
          <w:sz w:val="24"/>
          <w:szCs w:val="24"/>
        </w:rPr>
        <w:t>extracted the data in standardized data-collection forms, and two authors</w:t>
      </w:r>
      <w:r w:rsidRPr="00052A09">
        <w:rPr>
          <w:sz w:val="24"/>
          <w:szCs w:val="24"/>
        </w:rPr>
        <w:t xml:space="preserve"> (W</w:t>
      </w:r>
      <w:r w:rsidR="008462A4" w:rsidRPr="00052A09">
        <w:rPr>
          <w:sz w:val="24"/>
          <w:szCs w:val="24"/>
        </w:rPr>
        <w:t>.</w:t>
      </w:r>
      <w:r w:rsidRPr="00052A09">
        <w:rPr>
          <w:sz w:val="24"/>
          <w:szCs w:val="24"/>
        </w:rPr>
        <w:t>Z</w:t>
      </w:r>
      <w:r w:rsidR="008462A4" w:rsidRPr="00052A09">
        <w:rPr>
          <w:sz w:val="24"/>
          <w:szCs w:val="24"/>
        </w:rPr>
        <w:t>.</w:t>
      </w:r>
      <w:r w:rsidRPr="00052A09">
        <w:rPr>
          <w:sz w:val="24"/>
          <w:szCs w:val="24"/>
        </w:rPr>
        <w:t xml:space="preserve"> and P</w:t>
      </w:r>
      <w:r w:rsidR="008462A4" w:rsidRPr="00052A09">
        <w:rPr>
          <w:sz w:val="24"/>
          <w:szCs w:val="24"/>
        </w:rPr>
        <w:t>.</w:t>
      </w:r>
      <w:r w:rsidRPr="00052A09">
        <w:rPr>
          <w:sz w:val="24"/>
          <w:szCs w:val="24"/>
        </w:rPr>
        <w:t>S</w:t>
      </w:r>
      <w:r w:rsidR="008462A4" w:rsidRPr="00052A09">
        <w:rPr>
          <w:sz w:val="24"/>
          <w:szCs w:val="24"/>
        </w:rPr>
        <w:t>.</w:t>
      </w:r>
      <w:r w:rsidRPr="00052A09">
        <w:rPr>
          <w:sz w:val="24"/>
          <w:szCs w:val="24"/>
        </w:rPr>
        <w:t xml:space="preserve">) </w:t>
      </w:r>
      <w:r w:rsidR="00DC7CEE" w:rsidRPr="00052A09">
        <w:rPr>
          <w:sz w:val="24"/>
          <w:szCs w:val="24"/>
        </w:rPr>
        <w:t>assessed the study quality</w:t>
      </w:r>
      <w:r w:rsidR="008462A4" w:rsidRPr="00052A09">
        <w:rPr>
          <w:sz w:val="24"/>
          <w:szCs w:val="24"/>
        </w:rPr>
        <w:t>.</w:t>
      </w:r>
      <w:r w:rsidR="00DC7CEE" w:rsidRPr="00052A09">
        <w:rPr>
          <w:sz w:val="24"/>
          <w:szCs w:val="24"/>
        </w:rPr>
        <w:t xml:space="preserve"> The following data were abstracted: author, publication year; study design; population(categorized as American, Asian [including Japanese populations in Hawaii],and European); sample size; participants’ characteristics(age and sex); exposure; </w:t>
      </w:r>
      <w:r w:rsidR="001D315A" w:rsidRPr="00052A09">
        <w:rPr>
          <w:rFonts w:hint="eastAsia"/>
          <w:sz w:val="24"/>
          <w:szCs w:val="24"/>
        </w:rPr>
        <w:t>fourfold</w:t>
      </w:r>
      <w:r w:rsidR="00DC7CEE" w:rsidRPr="00052A09">
        <w:rPr>
          <w:sz w:val="24"/>
          <w:szCs w:val="24"/>
        </w:rPr>
        <w:t xml:space="preserve"> data for dichotomous data and mean with corresponding </w:t>
      </w:r>
      <w:bookmarkStart w:id="2" w:name="OLE_LINK1"/>
      <w:bookmarkStart w:id="3" w:name="OLE_LINK2"/>
      <w:r w:rsidR="00DC7CEE" w:rsidRPr="00052A09">
        <w:rPr>
          <w:sz w:val="24"/>
          <w:szCs w:val="24"/>
        </w:rPr>
        <w:t>standard deviation</w:t>
      </w:r>
      <w:bookmarkEnd w:id="2"/>
      <w:bookmarkEnd w:id="3"/>
      <w:r w:rsidR="00DC7CEE" w:rsidRPr="00052A09">
        <w:rPr>
          <w:sz w:val="24"/>
          <w:szCs w:val="24"/>
        </w:rPr>
        <w:t xml:space="preserve"> (SD) for continuous data</w:t>
      </w:r>
      <w:r w:rsidR="008462A4" w:rsidRPr="00052A09">
        <w:rPr>
          <w:sz w:val="24"/>
          <w:szCs w:val="24"/>
        </w:rPr>
        <w:t>.</w:t>
      </w:r>
      <w:r w:rsidR="00DC7CEE" w:rsidRPr="00052A09">
        <w:rPr>
          <w:sz w:val="24"/>
          <w:szCs w:val="24"/>
        </w:rPr>
        <w:t xml:space="preserve"> The Newcastle-Ottawa Scale (NOS) was used to evaluate the methodological quality, which scored studies by the selection of the study groups, the comparability of the groups, and the ascertainment of the outcome of interest</w:t>
      </w:r>
      <w:r w:rsidR="008462A4" w:rsidRPr="00052A09">
        <w:rPr>
          <w:sz w:val="24"/>
          <w:szCs w:val="24"/>
        </w:rPr>
        <w:t>.</w:t>
      </w:r>
      <w:r w:rsidR="00AF3984" w:rsidRPr="00052A09">
        <w:rPr>
          <w:rFonts w:hint="eastAsia"/>
          <w:sz w:val="24"/>
          <w:szCs w:val="24"/>
          <w:vertAlign w:val="superscript"/>
        </w:rPr>
        <w:t>3</w:t>
      </w:r>
    </w:p>
    <w:p w:rsidR="00DC7CEE" w:rsidRPr="00052A09" w:rsidRDefault="00DC7CEE" w:rsidP="002F73D2">
      <w:pPr>
        <w:adjustRightInd w:val="0"/>
        <w:snapToGrid w:val="0"/>
        <w:rPr>
          <w:sz w:val="24"/>
          <w:szCs w:val="24"/>
          <w:vertAlign w:val="superscript"/>
        </w:rPr>
      </w:pPr>
    </w:p>
    <w:p w:rsidR="00DC7CEE" w:rsidRPr="00052A09" w:rsidRDefault="00DC7CEE" w:rsidP="002F73D2">
      <w:pPr>
        <w:adjustRightInd w:val="0"/>
        <w:snapToGrid w:val="0"/>
        <w:rPr>
          <w:i/>
          <w:sz w:val="24"/>
          <w:szCs w:val="24"/>
        </w:rPr>
      </w:pPr>
      <w:r w:rsidRPr="00052A09">
        <w:rPr>
          <w:i/>
          <w:sz w:val="24"/>
          <w:szCs w:val="24"/>
        </w:rPr>
        <w:t>Statistical Analysis</w:t>
      </w:r>
    </w:p>
    <w:p w:rsidR="00DC7CEE" w:rsidRPr="00052A09" w:rsidRDefault="00DC7CEE" w:rsidP="002F73D2">
      <w:pPr>
        <w:adjustRightInd w:val="0"/>
        <w:snapToGrid w:val="0"/>
        <w:rPr>
          <w:sz w:val="24"/>
          <w:szCs w:val="24"/>
        </w:rPr>
      </w:pPr>
      <w:r w:rsidRPr="00052A09">
        <w:rPr>
          <w:sz w:val="24"/>
          <w:szCs w:val="24"/>
        </w:rPr>
        <w:t>We pooled both continuous and dichotomous data extracted from pertinent articles, using the random-effects model</w:t>
      </w:r>
      <w:r w:rsidR="008462A4" w:rsidRPr="00052A09">
        <w:rPr>
          <w:sz w:val="24"/>
          <w:szCs w:val="24"/>
        </w:rPr>
        <w:t>.</w:t>
      </w:r>
      <w:r w:rsidRPr="00052A09">
        <w:rPr>
          <w:sz w:val="24"/>
          <w:szCs w:val="24"/>
        </w:rPr>
        <w:t xml:space="preserve"> When the both data were available in one paper, they were pooled into different aspects of our meta-analysis</w:t>
      </w:r>
      <w:r w:rsidR="008462A4" w:rsidRPr="00052A09">
        <w:rPr>
          <w:sz w:val="24"/>
          <w:szCs w:val="24"/>
        </w:rPr>
        <w:t>.</w:t>
      </w:r>
      <w:r w:rsidRPr="00052A09">
        <w:rPr>
          <w:sz w:val="24"/>
          <w:szCs w:val="24"/>
        </w:rPr>
        <w:t xml:space="preserve"> Mean difference</w:t>
      </w:r>
      <w:r w:rsidR="00F567AB" w:rsidRPr="00052A09">
        <w:rPr>
          <w:rFonts w:hint="eastAsia"/>
          <w:sz w:val="24"/>
          <w:szCs w:val="24"/>
        </w:rPr>
        <w:t xml:space="preserve"> (MD)</w:t>
      </w:r>
      <w:r w:rsidRPr="00052A09">
        <w:rPr>
          <w:sz w:val="24"/>
          <w:szCs w:val="24"/>
        </w:rPr>
        <w:t xml:space="preserve"> and </w:t>
      </w:r>
      <w:r w:rsidR="00F567AB" w:rsidRPr="00052A09">
        <w:rPr>
          <w:sz w:val="24"/>
          <w:szCs w:val="24"/>
        </w:rPr>
        <w:t xml:space="preserve">odds ratio </w:t>
      </w:r>
      <w:r w:rsidRPr="00052A09">
        <w:rPr>
          <w:sz w:val="24"/>
          <w:szCs w:val="24"/>
        </w:rPr>
        <w:t>(</w:t>
      </w:r>
      <w:r w:rsidR="00F567AB" w:rsidRPr="00052A09">
        <w:rPr>
          <w:sz w:val="24"/>
          <w:szCs w:val="24"/>
        </w:rPr>
        <w:t>OR</w:t>
      </w:r>
      <w:r w:rsidRPr="00052A09">
        <w:rPr>
          <w:sz w:val="24"/>
          <w:szCs w:val="24"/>
        </w:rPr>
        <w:t>) were selected as the effect size</w:t>
      </w:r>
      <w:r w:rsidR="00996F29" w:rsidRPr="00052A09">
        <w:rPr>
          <w:rFonts w:hint="eastAsia"/>
          <w:sz w:val="24"/>
          <w:szCs w:val="24"/>
        </w:rPr>
        <w:t>s</w:t>
      </w:r>
      <w:r w:rsidR="008462A4" w:rsidRPr="00052A09">
        <w:rPr>
          <w:sz w:val="24"/>
          <w:szCs w:val="24"/>
        </w:rPr>
        <w:t>.</w:t>
      </w:r>
      <w:r w:rsidR="001F095F" w:rsidRPr="00052A09">
        <w:rPr>
          <w:sz w:val="24"/>
          <w:szCs w:val="24"/>
        </w:rPr>
        <w:t xml:space="preserve">We </w:t>
      </w:r>
      <w:r w:rsidR="00212738" w:rsidRPr="00052A09">
        <w:rPr>
          <w:sz w:val="24"/>
          <w:szCs w:val="24"/>
        </w:rPr>
        <w:t xml:space="preserve">used </w:t>
      </w:r>
      <w:r w:rsidR="001F095F" w:rsidRPr="00052A09">
        <w:rPr>
          <w:sz w:val="24"/>
          <w:szCs w:val="24"/>
        </w:rPr>
        <w:t>mg/</w:t>
      </w:r>
      <w:r w:rsidR="001F095F" w:rsidRPr="00052A09">
        <w:rPr>
          <w:rFonts w:hint="eastAsia"/>
          <w:sz w:val="24"/>
          <w:szCs w:val="24"/>
        </w:rPr>
        <w:t>Land</w:t>
      </w:r>
      <w:r w:rsidR="00212738" w:rsidRPr="00052A09">
        <w:rPr>
          <w:rFonts w:hint="eastAsia"/>
          <w:sz w:val="24"/>
          <w:szCs w:val="24"/>
        </w:rPr>
        <w:t xml:space="preserve"> g/L</w:t>
      </w:r>
      <w:r w:rsidR="00212738" w:rsidRPr="00052A09">
        <w:rPr>
          <w:sz w:val="24"/>
          <w:szCs w:val="24"/>
        </w:rPr>
        <w:t xml:space="preserve"> in the measurement units of </w:t>
      </w:r>
      <w:r w:rsidR="00212738" w:rsidRPr="00052A09">
        <w:rPr>
          <w:rFonts w:hint="eastAsia"/>
          <w:sz w:val="24"/>
          <w:szCs w:val="24"/>
        </w:rPr>
        <w:t>D-dimer and Fg</w:t>
      </w:r>
      <w:r w:rsidR="00A9111C" w:rsidRPr="00052A09">
        <w:rPr>
          <w:sz w:val="24"/>
          <w:szCs w:val="24"/>
        </w:rPr>
        <w:t xml:space="preserve">as </w:t>
      </w:r>
      <w:r w:rsidR="00A9111C" w:rsidRPr="00052A09">
        <w:rPr>
          <w:rFonts w:hint="eastAsia"/>
          <w:sz w:val="24"/>
          <w:szCs w:val="24"/>
        </w:rPr>
        <w:t>they</w:t>
      </w:r>
      <w:r w:rsidR="00A9111C" w:rsidRPr="00052A09">
        <w:rPr>
          <w:sz w:val="24"/>
          <w:szCs w:val="24"/>
        </w:rPr>
        <w:t xml:space="preserve"> w</w:t>
      </w:r>
      <w:r w:rsidR="00A9111C" w:rsidRPr="00052A09">
        <w:rPr>
          <w:rFonts w:hint="eastAsia"/>
          <w:sz w:val="24"/>
          <w:szCs w:val="24"/>
        </w:rPr>
        <w:t>ere</w:t>
      </w:r>
      <w:r w:rsidR="00212738" w:rsidRPr="00052A09">
        <w:rPr>
          <w:sz w:val="24"/>
          <w:szCs w:val="24"/>
        </w:rPr>
        <w:t xml:space="preserve"> more frequently reported</w:t>
      </w:r>
      <w:r w:rsidR="008462A4" w:rsidRPr="00052A09">
        <w:rPr>
          <w:sz w:val="24"/>
          <w:szCs w:val="24"/>
        </w:rPr>
        <w:t>.</w:t>
      </w:r>
    </w:p>
    <w:p w:rsidR="009E08B4" w:rsidRPr="00052A09" w:rsidRDefault="00DC7CEE" w:rsidP="002F73D2">
      <w:pPr>
        <w:adjustRightInd w:val="0"/>
        <w:snapToGrid w:val="0"/>
        <w:ind w:firstLineChars="100" w:firstLine="240"/>
        <w:rPr>
          <w:sz w:val="24"/>
          <w:szCs w:val="24"/>
        </w:rPr>
      </w:pPr>
      <w:r w:rsidRPr="00052A09">
        <w:rPr>
          <w:sz w:val="24"/>
          <w:szCs w:val="24"/>
        </w:rPr>
        <w:t>Correl</w:t>
      </w:r>
      <w:r w:rsidR="00B8726B" w:rsidRPr="00052A09">
        <w:rPr>
          <w:sz w:val="24"/>
          <w:szCs w:val="24"/>
        </w:rPr>
        <w:t xml:space="preserve">ation coefficient rs were </w:t>
      </w:r>
      <w:r w:rsidR="00B8726B" w:rsidRPr="00052A09">
        <w:rPr>
          <w:rFonts w:hint="eastAsia"/>
          <w:sz w:val="24"/>
          <w:szCs w:val="24"/>
        </w:rPr>
        <w:t>calculat</w:t>
      </w:r>
      <w:r w:rsidRPr="00052A09">
        <w:rPr>
          <w:sz w:val="24"/>
          <w:szCs w:val="24"/>
        </w:rPr>
        <w:t xml:space="preserve">ed to </w:t>
      </w:r>
      <w:r w:rsidR="00B8726B" w:rsidRPr="00052A09">
        <w:rPr>
          <w:rFonts w:hint="eastAsia"/>
          <w:sz w:val="24"/>
          <w:szCs w:val="24"/>
        </w:rPr>
        <w:t xml:space="preserve">assess </w:t>
      </w:r>
      <w:r w:rsidRPr="00052A09">
        <w:rPr>
          <w:sz w:val="24"/>
          <w:szCs w:val="24"/>
        </w:rPr>
        <w:t xml:space="preserve">the </w:t>
      </w:r>
      <w:r w:rsidR="00B5592D" w:rsidRPr="00052A09">
        <w:rPr>
          <w:rFonts w:hint="eastAsia"/>
          <w:sz w:val="24"/>
          <w:szCs w:val="24"/>
        </w:rPr>
        <w:t>association strength</w:t>
      </w:r>
      <w:r w:rsidRPr="00052A09">
        <w:rPr>
          <w:sz w:val="24"/>
          <w:szCs w:val="24"/>
        </w:rPr>
        <w:t xml:space="preserve"> for each parameter</w:t>
      </w:r>
      <w:r w:rsidR="008462A4" w:rsidRPr="00052A09">
        <w:rPr>
          <w:sz w:val="24"/>
          <w:szCs w:val="24"/>
        </w:rPr>
        <w:t>.</w:t>
      </w:r>
      <w:r w:rsidRPr="00052A09">
        <w:rPr>
          <w:sz w:val="24"/>
          <w:szCs w:val="24"/>
        </w:rPr>
        <w:t xml:space="preserve"> All of the statistics were converted into correlation coefficient r</w:t>
      </w:r>
      <w:r w:rsidR="00D76A90" w:rsidRPr="00052A09">
        <w:rPr>
          <w:rFonts w:hint="eastAsia"/>
          <w:sz w:val="24"/>
          <w:szCs w:val="24"/>
        </w:rPr>
        <w:t xml:space="preserve">, </w:t>
      </w:r>
      <w:r w:rsidRPr="00052A09">
        <w:rPr>
          <w:sz w:val="24"/>
          <w:szCs w:val="24"/>
        </w:rPr>
        <w:t xml:space="preserve">which was selected as the </w:t>
      </w:r>
      <w:r w:rsidR="00F62F50" w:rsidRPr="00052A09">
        <w:rPr>
          <w:sz w:val="24"/>
          <w:szCs w:val="24"/>
        </w:rPr>
        <w:t>effect size</w:t>
      </w:r>
      <w:r w:rsidRPr="00052A09">
        <w:rPr>
          <w:sz w:val="24"/>
          <w:szCs w:val="24"/>
        </w:rPr>
        <w:t>, following procedures described by Rosenthal et al</w:t>
      </w:r>
      <w:r w:rsidR="00AF3984" w:rsidRPr="00052A09">
        <w:rPr>
          <w:rFonts w:hint="eastAsia"/>
          <w:sz w:val="24"/>
          <w:szCs w:val="24"/>
          <w:vertAlign w:val="superscript"/>
        </w:rPr>
        <w:t>4</w:t>
      </w:r>
      <w:r w:rsidR="008462A4" w:rsidRPr="00052A09">
        <w:rPr>
          <w:sz w:val="24"/>
          <w:szCs w:val="24"/>
        </w:rPr>
        <w:t>.</w:t>
      </w:r>
      <w:r w:rsidRPr="00052A09">
        <w:rPr>
          <w:sz w:val="24"/>
          <w:szCs w:val="24"/>
        </w:rPr>
        <w:t xml:space="preserve"> These rs were then combined using Fisher's z transformation and were weighted by degrees of freedom (n - 3) in order to take into account the differential precision of estimate associated with larger and smaller studies</w:t>
      </w:r>
      <w:r w:rsidR="008462A4" w:rsidRPr="00052A09">
        <w:rPr>
          <w:sz w:val="24"/>
          <w:szCs w:val="24"/>
        </w:rPr>
        <w:t>.</w:t>
      </w:r>
      <w:r w:rsidRPr="00052A09">
        <w:rPr>
          <w:sz w:val="24"/>
          <w:szCs w:val="24"/>
        </w:rPr>
        <w:t xml:space="preserve"> Finally, the Fisher's Zr value</w:t>
      </w:r>
      <w:r w:rsidR="008435AA" w:rsidRPr="00052A09">
        <w:rPr>
          <w:sz w:val="24"/>
          <w:szCs w:val="24"/>
        </w:rPr>
        <w:t xml:space="preserve"> w</w:t>
      </w:r>
      <w:r w:rsidR="008435AA" w:rsidRPr="00052A09">
        <w:rPr>
          <w:rFonts w:hint="eastAsia"/>
          <w:sz w:val="24"/>
          <w:szCs w:val="24"/>
        </w:rPr>
        <w:t>as</w:t>
      </w:r>
      <w:r w:rsidRPr="00052A09">
        <w:rPr>
          <w:sz w:val="24"/>
          <w:szCs w:val="24"/>
        </w:rPr>
        <w:t xml:space="preserve"> converted back to r to get a weighted average effect size for each risk factor</w:t>
      </w:r>
      <w:r w:rsidR="008462A4" w:rsidRPr="00052A09">
        <w:rPr>
          <w:sz w:val="24"/>
          <w:szCs w:val="24"/>
        </w:rPr>
        <w:t>.</w:t>
      </w:r>
      <w:r w:rsidRPr="00052A09">
        <w:rPr>
          <w:sz w:val="24"/>
          <w:szCs w:val="24"/>
        </w:rPr>
        <w:t xml:space="preserve"> Higher absolute value of r indicates a stronger association with PHI</w:t>
      </w:r>
      <w:r w:rsidR="008462A4" w:rsidRPr="00052A09">
        <w:rPr>
          <w:sz w:val="24"/>
          <w:szCs w:val="24"/>
        </w:rPr>
        <w:t>.</w:t>
      </w:r>
      <w:r w:rsidRPr="00052A09">
        <w:rPr>
          <w:sz w:val="24"/>
          <w:szCs w:val="24"/>
        </w:rPr>
        <w:t xml:space="preserve"> For the </w:t>
      </w:r>
      <w:r w:rsidRPr="00052A09">
        <w:rPr>
          <w:rFonts w:hint="eastAsia"/>
          <w:sz w:val="24"/>
          <w:szCs w:val="24"/>
        </w:rPr>
        <w:t>r</w:t>
      </w:r>
      <w:r w:rsidRPr="00052A09">
        <w:rPr>
          <w:sz w:val="24"/>
          <w:szCs w:val="24"/>
        </w:rPr>
        <w:t xml:space="preserve"> metric, we considered </w:t>
      </w:r>
      <w:r w:rsidRPr="00052A09">
        <w:rPr>
          <w:rFonts w:hint="eastAsia"/>
          <w:sz w:val="24"/>
          <w:szCs w:val="24"/>
        </w:rPr>
        <w:t>weak</w:t>
      </w:r>
      <w:r w:rsidRPr="00052A09">
        <w:rPr>
          <w:sz w:val="24"/>
          <w:szCs w:val="24"/>
        </w:rPr>
        <w:t>, moderate</w:t>
      </w:r>
      <w:r w:rsidRPr="00052A09">
        <w:rPr>
          <w:rFonts w:hint="eastAsia"/>
          <w:sz w:val="24"/>
          <w:szCs w:val="24"/>
        </w:rPr>
        <w:t>, strong</w:t>
      </w:r>
      <w:r w:rsidRPr="00052A09">
        <w:rPr>
          <w:sz w:val="24"/>
          <w:szCs w:val="24"/>
        </w:rPr>
        <w:t xml:space="preserve"> and </w:t>
      </w:r>
      <w:r w:rsidRPr="00052A09">
        <w:rPr>
          <w:rFonts w:hint="eastAsia"/>
          <w:sz w:val="24"/>
          <w:szCs w:val="24"/>
        </w:rPr>
        <w:t>powerfulr</w:t>
      </w:r>
      <w:r w:rsidRPr="00052A09">
        <w:rPr>
          <w:sz w:val="24"/>
          <w:szCs w:val="24"/>
        </w:rPr>
        <w:t xml:space="preserve"> values to be </w:t>
      </w:r>
      <w:r w:rsidRPr="00052A09">
        <w:rPr>
          <w:rFonts w:hint="eastAsia"/>
          <w:sz w:val="24"/>
          <w:szCs w:val="24"/>
        </w:rPr>
        <w:t>&lt;0</w:t>
      </w:r>
      <w:r w:rsidR="008462A4" w:rsidRPr="00052A09">
        <w:rPr>
          <w:rFonts w:hint="eastAsia"/>
          <w:sz w:val="24"/>
          <w:szCs w:val="24"/>
        </w:rPr>
        <w:t>.</w:t>
      </w:r>
      <w:r w:rsidRPr="00052A09">
        <w:rPr>
          <w:rFonts w:hint="eastAsia"/>
          <w:sz w:val="24"/>
          <w:szCs w:val="24"/>
        </w:rPr>
        <w:t>2</w:t>
      </w:r>
      <w:r w:rsidRPr="00052A09">
        <w:rPr>
          <w:sz w:val="24"/>
          <w:szCs w:val="24"/>
        </w:rPr>
        <w:t>,</w:t>
      </w:r>
      <w:r w:rsidRPr="00052A09">
        <w:rPr>
          <w:rFonts w:hint="eastAsia"/>
          <w:sz w:val="24"/>
          <w:szCs w:val="24"/>
        </w:rPr>
        <w:t xml:space="preserve"> 0</w:t>
      </w:r>
      <w:r w:rsidR="008462A4" w:rsidRPr="00052A09">
        <w:rPr>
          <w:rFonts w:hint="eastAsia"/>
          <w:sz w:val="24"/>
          <w:szCs w:val="24"/>
        </w:rPr>
        <w:t>.</w:t>
      </w:r>
      <w:r w:rsidRPr="00052A09">
        <w:rPr>
          <w:rFonts w:hint="eastAsia"/>
          <w:sz w:val="24"/>
          <w:szCs w:val="24"/>
        </w:rPr>
        <w:t>2-0</w:t>
      </w:r>
      <w:r w:rsidR="008462A4" w:rsidRPr="00052A09">
        <w:rPr>
          <w:rFonts w:hint="eastAsia"/>
          <w:sz w:val="24"/>
          <w:szCs w:val="24"/>
        </w:rPr>
        <w:t>.</w:t>
      </w:r>
      <w:r w:rsidRPr="00052A09">
        <w:rPr>
          <w:rFonts w:hint="eastAsia"/>
          <w:sz w:val="24"/>
          <w:szCs w:val="24"/>
        </w:rPr>
        <w:t>4</w:t>
      </w:r>
      <w:r w:rsidRPr="00052A09">
        <w:rPr>
          <w:sz w:val="24"/>
          <w:szCs w:val="24"/>
        </w:rPr>
        <w:t xml:space="preserve">, </w:t>
      </w:r>
      <w:r w:rsidRPr="00052A09">
        <w:rPr>
          <w:rFonts w:hint="eastAsia"/>
          <w:sz w:val="24"/>
          <w:szCs w:val="24"/>
        </w:rPr>
        <w:t>0</w:t>
      </w:r>
      <w:r w:rsidR="008462A4" w:rsidRPr="00052A09">
        <w:rPr>
          <w:rFonts w:hint="eastAsia"/>
          <w:sz w:val="24"/>
          <w:szCs w:val="24"/>
        </w:rPr>
        <w:t>.</w:t>
      </w:r>
      <w:r w:rsidRPr="00052A09">
        <w:rPr>
          <w:rFonts w:hint="eastAsia"/>
          <w:sz w:val="24"/>
          <w:szCs w:val="24"/>
        </w:rPr>
        <w:t>4-0</w:t>
      </w:r>
      <w:r w:rsidR="008462A4" w:rsidRPr="00052A09">
        <w:rPr>
          <w:rFonts w:hint="eastAsia"/>
          <w:sz w:val="24"/>
          <w:szCs w:val="24"/>
        </w:rPr>
        <w:t>.</w:t>
      </w:r>
      <w:r w:rsidRPr="00052A09">
        <w:rPr>
          <w:rFonts w:hint="eastAsia"/>
          <w:sz w:val="24"/>
          <w:szCs w:val="24"/>
        </w:rPr>
        <w:t>6, &gt;0</w:t>
      </w:r>
      <w:r w:rsidR="008462A4" w:rsidRPr="00052A09">
        <w:rPr>
          <w:rFonts w:hint="eastAsia"/>
          <w:sz w:val="24"/>
          <w:szCs w:val="24"/>
        </w:rPr>
        <w:t>.</w:t>
      </w:r>
      <w:r w:rsidRPr="00052A09">
        <w:rPr>
          <w:rFonts w:hint="eastAsia"/>
          <w:sz w:val="24"/>
          <w:szCs w:val="24"/>
        </w:rPr>
        <w:t xml:space="preserve">6 </w:t>
      </w:r>
      <w:r w:rsidRPr="00052A09">
        <w:rPr>
          <w:sz w:val="24"/>
          <w:szCs w:val="24"/>
        </w:rPr>
        <w:t>respectively</w:t>
      </w:r>
      <w:r w:rsidR="008462A4" w:rsidRPr="00052A09">
        <w:rPr>
          <w:sz w:val="24"/>
          <w:szCs w:val="24"/>
        </w:rPr>
        <w:t>.</w:t>
      </w:r>
    </w:p>
    <w:p w:rsidR="009E08B4" w:rsidRPr="00052A09" w:rsidRDefault="00DC7CEE" w:rsidP="002F73D2">
      <w:pPr>
        <w:adjustRightInd w:val="0"/>
        <w:snapToGrid w:val="0"/>
        <w:ind w:firstLineChars="100" w:firstLine="240"/>
        <w:rPr>
          <w:sz w:val="24"/>
          <w:szCs w:val="24"/>
        </w:rPr>
      </w:pPr>
      <w:r w:rsidRPr="00052A09">
        <w:rPr>
          <w:sz w:val="24"/>
          <w:szCs w:val="24"/>
        </w:rPr>
        <w:t>Continuous and dichotomous data were extracted respectively</w:t>
      </w:r>
      <w:r w:rsidR="008462A4" w:rsidRPr="00052A09">
        <w:rPr>
          <w:sz w:val="24"/>
          <w:szCs w:val="24"/>
        </w:rPr>
        <w:t>.</w:t>
      </w:r>
      <w:r w:rsidRPr="00052A09">
        <w:rPr>
          <w:sz w:val="24"/>
          <w:szCs w:val="24"/>
        </w:rPr>
        <w:t xml:space="preserve"> Unless we were able to contact researchers to obtain missing data, we relied on the information reported in the articles</w:t>
      </w:r>
      <w:r w:rsidR="008462A4" w:rsidRPr="00052A09">
        <w:rPr>
          <w:sz w:val="24"/>
          <w:szCs w:val="24"/>
        </w:rPr>
        <w:t>.</w:t>
      </w:r>
      <w:r w:rsidRPr="00052A09">
        <w:rPr>
          <w:sz w:val="24"/>
          <w:szCs w:val="24"/>
        </w:rPr>
        <w:t xml:space="preserve"> In many cases, the report was unclear about factors relating to study quality, provision of actual numbers, and details of statistical analyses</w:t>
      </w:r>
      <w:r w:rsidR="008462A4" w:rsidRPr="00052A09">
        <w:rPr>
          <w:sz w:val="24"/>
          <w:szCs w:val="24"/>
        </w:rPr>
        <w:t>.</w:t>
      </w:r>
      <w:r w:rsidRPr="00052A09">
        <w:rPr>
          <w:sz w:val="24"/>
          <w:szCs w:val="24"/>
        </w:rPr>
        <w:t xml:space="preserve"> Data described as median with interquartile range (25th, 75th) in two pertinent articles were overlooked instead of being transformed into mean± </w:t>
      </w:r>
      <w:r w:rsidR="003F493B" w:rsidRPr="00052A09">
        <w:rPr>
          <w:rFonts w:hint="eastAsia"/>
          <w:sz w:val="24"/>
          <w:szCs w:val="24"/>
        </w:rPr>
        <w:t>SD.</w:t>
      </w:r>
    </w:p>
    <w:p w:rsidR="009E08B4" w:rsidRPr="00052A09" w:rsidRDefault="00DC7CEE" w:rsidP="002F73D2">
      <w:pPr>
        <w:adjustRightInd w:val="0"/>
        <w:snapToGrid w:val="0"/>
        <w:ind w:firstLineChars="100" w:firstLine="240"/>
        <w:rPr>
          <w:sz w:val="24"/>
          <w:szCs w:val="24"/>
        </w:rPr>
      </w:pPr>
      <w:r w:rsidRPr="00052A09">
        <w:rPr>
          <w:sz w:val="24"/>
          <w:szCs w:val="24"/>
        </w:rPr>
        <w:t>In the analysis of dichotomous data in which the effect sizes are non-directional, we determined the specific trend for each coagulation parameter according to the corresponding continuous data</w:t>
      </w:r>
      <w:r w:rsidR="008462A4" w:rsidRPr="00052A09">
        <w:rPr>
          <w:sz w:val="24"/>
          <w:szCs w:val="24"/>
        </w:rPr>
        <w:t>.</w:t>
      </w:r>
      <w:r w:rsidRPr="00052A09">
        <w:rPr>
          <w:sz w:val="24"/>
          <w:szCs w:val="24"/>
        </w:rPr>
        <w:t xml:space="preserve"> A threshold of P&lt;0</w:t>
      </w:r>
      <w:r w:rsidR="008462A4" w:rsidRPr="00052A09">
        <w:rPr>
          <w:sz w:val="24"/>
          <w:szCs w:val="24"/>
        </w:rPr>
        <w:t>.</w:t>
      </w:r>
      <w:r w:rsidRPr="00052A09">
        <w:rPr>
          <w:sz w:val="24"/>
          <w:szCs w:val="24"/>
        </w:rPr>
        <w:t xml:space="preserve">1 was used to </w:t>
      </w:r>
      <w:r w:rsidR="001B275E" w:rsidRPr="00052A09">
        <w:rPr>
          <w:sz w:val="24"/>
          <w:szCs w:val="24"/>
        </w:rPr>
        <w:t xml:space="preserve">decide whether heterogeneity </w:t>
      </w:r>
      <w:r w:rsidRPr="00052A09">
        <w:rPr>
          <w:sz w:val="24"/>
          <w:szCs w:val="24"/>
        </w:rPr>
        <w:t>was present</w:t>
      </w:r>
      <w:r w:rsidR="008462A4" w:rsidRPr="00052A09">
        <w:rPr>
          <w:sz w:val="24"/>
          <w:szCs w:val="24"/>
        </w:rPr>
        <w:t>.</w:t>
      </w:r>
      <w:r w:rsidR="001B275E" w:rsidRPr="00052A09">
        <w:rPr>
          <w:rFonts w:hint="eastAsia"/>
          <w:sz w:val="24"/>
          <w:szCs w:val="24"/>
          <w:vertAlign w:val="superscript"/>
        </w:rPr>
        <w:t>1</w:t>
      </w:r>
      <w:r w:rsidRPr="00052A09">
        <w:rPr>
          <w:sz w:val="24"/>
          <w:szCs w:val="24"/>
        </w:rPr>
        <w:t>In other ways, all reported probability values were 2 sided, with significance set at &lt;0</w:t>
      </w:r>
      <w:r w:rsidR="008462A4" w:rsidRPr="00052A09">
        <w:rPr>
          <w:sz w:val="24"/>
          <w:szCs w:val="24"/>
        </w:rPr>
        <w:t>.</w:t>
      </w:r>
      <w:r w:rsidRPr="00052A09">
        <w:rPr>
          <w:sz w:val="24"/>
          <w:szCs w:val="24"/>
        </w:rPr>
        <w:t>05</w:t>
      </w:r>
      <w:r w:rsidR="008462A4" w:rsidRPr="00052A09">
        <w:rPr>
          <w:sz w:val="24"/>
          <w:szCs w:val="24"/>
        </w:rPr>
        <w:t>.</w:t>
      </w:r>
      <w:r w:rsidRPr="00052A09">
        <w:rPr>
          <w:sz w:val="24"/>
          <w:szCs w:val="24"/>
        </w:rPr>
        <w:t xml:space="preserve"> Statistical heterogeneity among studies was mainly assessed by the</w:t>
      </w:r>
      <w:r w:rsidRPr="00052A09">
        <w:rPr>
          <w:i/>
          <w:iCs/>
          <w:sz w:val="24"/>
          <w:szCs w:val="24"/>
        </w:rPr>
        <w:t xml:space="preserve"> I</w:t>
      </w:r>
      <w:r w:rsidRPr="00052A09">
        <w:rPr>
          <w:i/>
          <w:iCs/>
          <w:sz w:val="24"/>
          <w:szCs w:val="24"/>
          <w:vertAlign w:val="superscript"/>
        </w:rPr>
        <w:t>2</w:t>
      </w:r>
      <w:r w:rsidRPr="00052A09">
        <w:rPr>
          <w:sz w:val="24"/>
          <w:szCs w:val="24"/>
        </w:rPr>
        <w:t>statistic</w:t>
      </w:r>
      <w:r w:rsidR="008462A4" w:rsidRPr="00052A09">
        <w:rPr>
          <w:sz w:val="24"/>
          <w:szCs w:val="24"/>
        </w:rPr>
        <w:t>.</w:t>
      </w:r>
      <w:r w:rsidR="001B275E" w:rsidRPr="00052A09">
        <w:rPr>
          <w:rFonts w:hint="eastAsia"/>
          <w:sz w:val="24"/>
          <w:szCs w:val="24"/>
          <w:vertAlign w:val="superscript"/>
        </w:rPr>
        <w:t>5</w:t>
      </w:r>
      <w:r w:rsidRPr="00052A09">
        <w:rPr>
          <w:sz w:val="24"/>
          <w:szCs w:val="24"/>
        </w:rPr>
        <w:t xml:space="preserve"> For the </w:t>
      </w:r>
      <w:r w:rsidRPr="00052A09">
        <w:rPr>
          <w:i/>
          <w:iCs/>
          <w:sz w:val="24"/>
          <w:szCs w:val="24"/>
        </w:rPr>
        <w:t>I</w:t>
      </w:r>
      <w:r w:rsidRPr="00052A09">
        <w:rPr>
          <w:i/>
          <w:iCs/>
          <w:sz w:val="24"/>
          <w:szCs w:val="24"/>
          <w:vertAlign w:val="superscript"/>
        </w:rPr>
        <w:t>2</w:t>
      </w:r>
      <w:r w:rsidRPr="00052A09">
        <w:rPr>
          <w:sz w:val="24"/>
          <w:szCs w:val="24"/>
        </w:rPr>
        <w:t xml:space="preserve"> metric, we considered low, moderate and high </w:t>
      </w:r>
      <w:r w:rsidRPr="00052A09">
        <w:rPr>
          <w:i/>
          <w:iCs/>
          <w:sz w:val="24"/>
          <w:szCs w:val="24"/>
        </w:rPr>
        <w:t>I</w:t>
      </w:r>
      <w:r w:rsidRPr="00052A09">
        <w:rPr>
          <w:i/>
          <w:iCs/>
          <w:sz w:val="24"/>
          <w:szCs w:val="24"/>
          <w:vertAlign w:val="superscript"/>
        </w:rPr>
        <w:t>2</w:t>
      </w:r>
      <w:r w:rsidRPr="00052A09">
        <w:rPr>
          <w:sz w:val="24"/>
          <w:szCs w:val="24"/>
        </w:rPr>
        <w:t xml:space="preserve"> values to be 25%, 50%, and 75%, </w:t>
      </w:r>
      <w:r w:rsidRPr="00052A09">
        <w:rPr>
          <w:sz w:val="24"/>
          <w:szCs w:val="24"/>
        </w:rPr>
        <w:lastRenderedPageBreak/>
        <w:t>respectively</w:t>
      </w:r>
      <w:r w:rsidR="008462A4" w:rsidRPr="00052A09">
        <w:rPr>
          <w:sz w:val="24"/>
          <w:szCs w:val="24"/>
        </w:rPr>
        <w:t>.</w:t>
      </w:r>
      <w:r w:rsidR="001B275E" w:rsidRPr="00052A09">
        <w:rPr>
          <w:rFonts w:hint="eastAsia"/>
          <w:sz w:val="24"/>
          <w:szCs w:val="24"/>
          <w:vertAlign w:val="superscript"/>
        </w:rPr>
        <w:t>5</w:t>
      </w:r>
      <w:r w:rsidRPr="00052A09">
        <w:rPr>
          <w:sz w:val="24"/>
          <w:szCs w:val="24"/>
        </w:rPr>
        <w:t>Sensitivity analysis was conducted by excluding one study at a time to explore whether the results were driven by one large study or by a study with an extreme result</w:t>
      </w:r>
      <w:r w:rsidR="008462A4" w:rsidRPr="00052A09">
        <w:rPr>
          <w:sz w:val="24"/>
          <w:szCs w:val="24"/>
        </w:rPr>
        <w:t>.</w:t>
      </w:r>
    </w:p>
    <w:p w:rsidR="009A576C" w:rsidRDefault="00DC7CEE" w:rsidP="000E00E8">
      <w:pPr>
        <w:adjustRightInd w:val="0"/>
        <w:snapToGrid w:val="0"/>
        <w:ind w:firstLineChars="100" w:firstLine="240"/>
        <w:rPr>
          <w:sz w:val="24"/>
          <w:szCs w:val="24"/>
        </w:rPr>
      </w:pPr>
      <w:r w:rsidRPr="00052A09">
        <w:rPr>
          <w:sz w:val="24"/>
          <w:szCs w:val="24"/>
        </w:rPr>
        <w:t>Inter-rater reliabilities on selection of studies and quality assessment were calculated by Cohenκstatistics, with five levels of agreement, namely poor (κ=0</w:t>
      </w:r>
      <w:r w:rsidR="008462A4" w:rsidRPr="00052A09">
        <w:rPr>
          <w:sz w:val="24"/>
          <w:szCs w:val="24"/>
        </w:rPr>
        <w:t>.</w:t>
      </w:r>
      <w:r w:rsidRPr="00052A09">
        <w:rPr>
          <w:sz w:val="24"/>
          <w:szCs w:val="24"/>
        </w:rPr>
        <w:t>00–0</w:t>
      </w:r>
      <w:r w:rsidR="008462A4" w:rsidRPr="00052A09">
        <w:rPr>
          <w:sz w:val="24"/>
          <w:szCs w:val="24"/>
        </w:rPr>
        <w:t>.</w:t>
      </w:r>
      <w:r w:rsidRPr="00052A09">
        <w:rPr>
          <w:sz w:val="24"/>
          <w:szCs w:val="24"/>
        </w:rPr>
        <w:t>20), fair (κ=0</w:t>
      </w:r>
      <w:r w:rsidR="008462A4" w:rsidRPr="00052A09">
        <w:rPr>
          <w:sz w:val="24"/>
          <w:szCs w:val="24"/>
        </w:rPr>
        <w:t>.</w:t>
      </w:r>
      <w:r w:rsidRPr="00052A09">
        <w:rPr>
          <w:sz w:val="24"/>
          <w:szCs w:val="24"/>
        </w:rPr>
        <w:t>21–</w:t>
      </w:r>
      <w:r w:rsidR="00C3120C" w:rsidRPr="00052A09">
        <w:rPr>
          <w:sz w:val="24"/>
          <w:szCs w:val="24"/>
        </w:rPr>
        <w:t>0</w:t>
      </w:r>
      <w:r w:rsidR="008462A4" w:rsidRPr="00052A09">
        <w:rPr>
          <w:sz w:val="24"/>
          <w:szCs w:val="24"/>
        </w:rPr>
        <w:t>.</w:t>
      </w:r>
      <w:r w:rsidR="00C3120C" w:rsidRPr="00052A09">
        <w:rPr>
          <w:sz w:val="24"/>
          <w:szCs w:val="24"/>
        </w:rPr>
        <w:t>40), moderate (κ=0</w:t>
      </w:r>
      <w:r w:rsidR="008462A4" w:rsidRPr="00052A09">
        <w:rPr>
          <w:sz w:val="24"/>
          <w:szCs w:val="24"/>
        </w:rPr>
        <w:t>.</w:t>
      </w:r>
      <w:r w:rsidR="00C3120C" w:rsidRPr="00052A09">
        <w:rPr>
          <w:sz w:val="24"/>
          <w:szCs w:val="24"/>
        </w:rPr>
        <w:t>41–0</w:t>
      </w:r>
      <w:r w:rsidR="008462A4" w:rsidRPr="00052A09">
        <w:rPr>
          <w:sz w:val="24"/>
          <w:szCs w:val="24"/>
        </w:rPr>
        <w:t>.</w:t>
      </w:r>
      <w:r w:rsidR="00C3120C" w:rsidRPr="00052A09">
        <w:rPr>
          <w:sz w:val="24"/>
          <w:szCs w:val="24"/>
        </w:rPr>
        <w:t xml:space="preserve">60), </w:t>
      </w:r>
      <w:r w:rsidRPr="00052A09">
        <w:rPr>
          <w:sz w:val="24"/>
          <w:szCs w:val="24"/>
        </w:rPr>
        <w:t>good (κ=0</w:t>
      </w:r>
      <w:r w:rsidR="008462A4" w:rsidRPr="00052A09">
        <w:rPr>
          <w:sz w:val="24"/>
          <w:szCs w:val="24"/>
        </w:rPr>
        <w:t>.</w:t>
      </w:r>
      <w:r w:rsidRPr="00052A09">
        <w:rPr>
          <w:sz w:val="24"/>
          <w:szCs w:val="24"/>
        </w:rPr>
        <w:t>61–0</w:t>
      </w:r>
      <w:r w:rsidR="008462A4" w:rsidRPr="00052A09">
        <w:rPr>
          <w:sz w:val="24"/>
          <w:szCs w:val="24"/>
        </w:rPr>
        <w:t>.</w:t>
      </w:r>
      <w:r w:rsidRPr="00052A09">
        <w:rPr>
          <w:sz w:val="24"/>
          <w:szCs w:val="24"/>
        </w:rPr>
        <w:t>80), and very good (κ=0</w:t>
      </w:r>
      <w:r w:rsidR="008462A4" w:rsidRPr="00052A09">
        <w:rPr>
          <w:sz w:val="24"/>
          <w:szCs w:val="24"/>
        </w:rPr>
        <w:t>.</w:t>
      </w:r>
      <w:r w:rsidRPr="00052A09">
        <w:rPr>
          <w:sz w:val="24"/>
          <w:szCs w:val="24"/>
        </w:rPr>
        <w:t>81–1</w:t>
      </w:r>
      <w:r w:rsidR="008462A4" w:rsidRPr="00052A09">
        <w:rPr>
          <w:sz w:val="24"/>
          <w:szCs w:val="24"/>
        </w:rPr>
        <w:t>.</w:t>
      </w:r>
      <w:r w:rsidRPr="00052A09">
        <w:rPr>
          <w:sz w:val="24"/>
          <w:szCs w:val="24"/>
        </w:rPr>
        <w:t>00)</w:t>
      </w:r>
      <w:r w:rsidR="008462A4" w:rsidRPr="00052A09">
        <w:rPr>
          <w:sz w:val="24"/>
          <w:szCs w:val="24"/>
        </w:rPr>
        <w:t>.</w:t>
      </w:r>
      <w:r w:rsidR="00AF3984" w:rsidRPr="00052A09">
        <w:rPr>
          <w:sz w:val="24"/>
          <w:szCs w:val="24"/>
          <w:vertAlign w:val="superscript"/>
        </w:rPr>
        <w:t>1</w:t>
      </w:r>
      <w:r w:rsidR="00AF3984" w:rsidRPr="00052A09">
        <w:rPr>
          <w:rFonts w:hint="eastAsia"/>
          <w:sz w:val="24"/>
          <w:szCs w:val="24"/>
          <w:vertAlign w:val="superscript"/>
        </w:rPr>
        <w:t>,</w:t>
      </w:r>
      <w:r w:rsidR="001B275E" w:rsidRPr="00052A09">
        <w:rPr>
          <w:rFonts w:hint="eastAsia"/>
          <w:sz w:val="24"/>
          <w:szCs w:val="24"/>
          <w:vertAlign w:val="superscript"/>
        </w:rPr>
        <w:t>6,7</w:t>
      </w:r>
      <w:r w:rsidR="001B275E" w:rsidRPr="00052A09">
        <w:rPr>
          <w:sz w:val="24"/>
          <w:szCs w:val="24"/>
        </w:rPr>
        <w:t>STATA software (version 12.0; Stata Corporation, College Station, TX)</w:t>
      </w:r>
      <w:r w:rsidR="000E00E8">
        <w:rPr>
          <w:sz w:val="24"/>
          <w:szCs w:val="24"/>
        </w:rPr>
        <w:t xml:space="preserve"> was used for the meta-analysis</w:t>
      </w:r>
      <w:r w:rsidR="000E00E8">
        <w:rPr>
          <w:rFonts w:hint="eastAsia"/>
          <w:sz w:val="24"/>
          <w:szCs w:val="24"/>
        </w:rPr>
        <w:t>.</w:t>
      </w:r>
    </w:p>
    <w:p w:rsidR="000E00E8" w:rsidRDefault="000E00E8" w:rsidP="000E00E8">
      <w:pPr>
        <w:adjustRightInd w:val="0"/>
        <w:snapToGrid w:val="0"/>
        <w:ind w:firstLineChars="100" w:firstLine="240"/>
        <w:rPr>
          <w:sz w:val="24"/>
          <w:szCs w:val="24"/>
        </w:rPr>
      </w:pPr>
    </w:p>
    <w:p w:rsidR="00861D70" w:rsidRDefault="00861D70" w:rsidP="000E00E8">
      <w:pPr>
        <w:adjustRightInd w:val="0"/>
        <w:snapToGrid w:val="0"/>
        <w:ind w:firstLineChars="100" w:firstLine="240"/>
        <w:rPr>
          <w:sz w:val="24"/>
          <w:szCs w:val="24"/>
        </w:rPr>
      </w:pPr>
    </w:p>
    <w:p w:rsidR="00861D70" w:rsidRDefault="00861D70" w:rsidP="000E00E8">
      <w:pPr>
        <w:adjustRightInd w:val="0"/>
        <w:snapToGrid w:val="0"/>
        <w:ind w:firstLineChars="100" w:firstLine="240"/>
        <w:rPr>
          <w:sz w:val="24"/>
          <w:szCs w:val="24"/>
        </w:rPr>
      </w:pPr>
    </w:p>
    <w:p w:rsidR="00861D70" w:rsidRDefault="00861D70" w:rsidP="00277BED">
      <w:pPr>
        <w:adjustRightInd w:val="0"/>
        <w:snapToGrid w:val="0"/>
        <w:rPr>
          <w:sz w:val="24"/>
          <w:szCs w:val="24"/>
        </w:rPr>
      </w:pPr>
    </w:p>
    <w:p w:rsidR="00861D70" w:rsidRDefault="00861D70" w:rsidP="000E00E8">
      <w:pPr>
        <w:adjustRightInd w:val="0"/>
        <w:snapToGrid w:val="0"/>
        <w:ind w:firstLineChars="100" w:firstLine="240"/>
        <w:rPr>
          <w:sz w:val="24"/>
          <w:szCs w:val="24"/>
        </w:rPr>
      </w:pPr>
    </w:p>
    <w:p w:rsidR="00861D70" w:rsidRPr="00E10D1D" w:rsidRDefault="00861D70" w:rsidP="00861D70">
      <w:pPr>
        <w:adjustRightInd w:val="0"/>
        <w:snapToGrid w:val="0"/>
        <w:rPr>
          <w:i/>
          <w:sz w:val="28"/>
          <w:szCs w:val="22"/>
        </w:rPr>
      </w:pPr>
      <w:r w:rsidRPr="00E10D1D">
        <w:rPr>
          <w:i/>
          <w:sz w:val="28"/>
          <w:szCs w:val="22"/>
        </w:rPr>
        <w:t xml:space="preserve">Supplemental References </w:t>
      </w:r>
    </w:p>
    <w:p w:rsidR="00861D70" w:rsidRPr="0066605A" w:rsidRDefault="00861D70" w:rsidP="00C80B02">
      <w:pPr>
        <w:pStyle w:val="a5"/>
        <w:numPr>
          <w:ilvl w:val="0"/>
          <w:numId w:val="3"/>
        </w:numPr>
        <w:spacing w:line="360" w:lineRule="auto"/>
        <w:ind w:firstLineChars="0"/>
        <w:rPr>
          <w:sz w:val="24"/>
          <w:szCs w:val="22"/>
        </w:rPr>
      </w:pPr>
      <w:r w:rsidRPr="0066605A">
        <w:rPr>
          <w:sz w:val="24"/>
          <w:szCs w:val="22"/>
        </w:rPr>
        <w:t>Cochrane handbook for systematic reviews of interventions, version 5.0.1</w:t>
      </w:r>
      <w:r w:rsidRPr="0066605A">
        <w:rPr>
          <w:rFonts w:hint="eastAsia"/>
          <w:sz w:val="24"/>
          <w:szCs w:val="22"/>
        </w:rPr>
        <w:t xml:space="preserve">, </w:t>
      </w:r>
      <w:r w:rsidRPr="0066605A">
        <w:rPr>
          <w:sz w:val="24"/>
          <w:szCs w:val="22"/>
        </w:rPr>
        <w:t>updated March 2011. http://www.cochrane-handbook.org. Accessed August 23 2014.</w:t>
      </w:r>
    </w:p>
    <w:p w:rsidR="00861D70" w:rsidRPr="00E10D1D" w:rsidRDefault="00861D70" w:rsidP="00C80B02">
      <w:pPr>
        <w:pStyle w:val="a5"/>
        <w:numPr>
          <w:ilvl w:val="0"/>
          <w:numId w:val="3"/>
        </w:numPr>
        <w:spacing w:line="360" w:lineRule="auto"/>
        <w:ind w:left="408" w:hangingChars="170" w:hanging="408"/>
        <w:rPr>
          <w:sz w:val="24"/>
          <w:szCs w:val="22"/>
        </w:rPr>
      </w:pPr>
      <w:r w:rsidRPr="00E10D1D">
        <w:rPr>
          <w:sz w:val="24"/>
          <w:szCs w:val="22"/>
        </w:rPr>
        <w:t>Ignjatovic V, Mertyn E, Monagle P</w:t>
      </w:r>
      <w:r>
        <w:rPr>
          <w:sz w:val="24"/>
          <w:szCs w:val="22"/>
        </w:rPr>
        <w:t>.</w:t>
      </w:r>
      <w:r w:rsidR="00715ABD">
        <w:rPr>
          <w:rFonts w:hint="eastAsia"/>
          <w:sz w:val="24"/>
          <w:szCs w:val="22"/>
        </w:rPr>
        <w:t xml:space="preserve"> </w:t>
      </w:r>
      <w:r w:rsidRPr="00E10D1D">
        <w:rPr>
          <w:sz w:val="24"/>
          <w:szCs w:val="22"/>
        </w:rPr>
        <w:t>The coagulation system in children: developmental and pathophysiological considerations</w:t>
      </w:r>
      <w:r>
        <w:rPr>
          <w:sz w:val="24"/>
          <w:szCs w:val="22"/>
        </w:rPr>
        <w:t>.</w:t>
      </w:r>
      <w:r w:rsidR="00655566">
        <w:rPr>
          <w:rFonts w:hint="eastAsia"/>
          <w:sz w:val="24"/>
          <w:szCs w:val="22"/>
        </w:rPr>
        <w:t xml:space="preserve"> </w:t>
      </w:r>
      <w:r w:rsidRPr="00655566">
        <w:rPr>
          <w:sz w:val="24"/>
          <w:szCs w:val="22"/>
        </w:rPr>
        <w:t xml:space="preserve">Seminars in thrombosis and hemostasis </w:t>
      </w:r>
      <w:r w:rsidRPr="00E10D1D">
        <w:rPr>
          <w:sz w:val="24"/>
          <w:szCs w:val="22"/>
        </w:rPr>
        <w:t>2011</w:t>
      </w:r>
      <w:r>
        <w:rPr>
          <w:rFonts w:hint="eastAsia"/>
          <w:sz w:val="24"/>
          <w:szCs w:val="22"/>
        </w:rPr>
        <w:t>;</w:t>
      </w:r>
      <w:r>
        <w:rPr>
          <w:sz w:val="24"/>
          <w:szCs w:val="22"/>
        </w:rPr>
        <w:t>37</w:t>
      </w:r>
      <w:r>
        <w:rPr>
          <w:rFonts w:hint="eastAsia"/>
          <w:sz w:val="24"/>
          <w:szCs w:val="22"/>
        </w:rPr>
        <w:t>:</w:t>
      </w:r>
      <w:r w:rsidRPr="00E10D1D">
        <w:rPr>
          <w:sz w:val="24"/>
          <w:szCs w:val="22"/>
        </w:rPr>
        <w:t>723-729</w:t>
      </w:r>
      <w:r>
        <w:rPr>
          <w:sz w:val="24"/>
          <w:szCs w:val="22"/>
        </w:rPr>
        <w:t>.</w:t>
      </w:r>
    </w:p>
    <w:p w:rsidR="00861D70" w:rsidRPr="0066605A" w:rsidRDefault="00861D70" w:rsidP="00C80B02">
      <w:pPr>
        <w:pStyle w:val="a5"/>
        <w:numPr>
          <w:ilvl w:val="0"/>
          <w:numId w:val="3"/>
        </w:numPr>
        <w:spacing w:line="360" w:lineRule="auto"/>
        <w:ind w:firstLineChars="0"/>
        <w:rPr>
          <w:sz w:val="24"/>
          <w:szCs w:val="22"/>
        </w:rPr>
      </w:pPr>
      <w:r w:rsidRPr="0066605A">
        <w:rPr>
          <w:sz w:val="24"/>
          <w:szCs w:val="22"/>
        </w:rPr>
        <w:t>The Newcastle-Ottawa Scale (NOS) f</w:t>
      </w:r>
      <w:r>
        <w:rPr>
          <w:sz w:val="24"/>
          <w:szCs w:val="22"/>
        </w:rPr>
        <w:t>or assessing the quality of nonrandomi</w:t>
      </w:r>
      <w:r>
        <w:rPr>
          <w:rFonts w:hint="eastAsia"/>
          <w:sz w:val="24"/>
          <w:szCs w:val="22"/>
        </w:rPr>
        <w:t>s</w:t>
      </w:r>
      <w:r w:rsidRPr="0066605A">
        <w:rPr>
          <w:sz w:val="24"/>
          <w:szCs w:val="22"/>
        </w:rPr>
        <w:t>ed studies in meta-analyses. http://www.ohri.ca/programs/clinical_epidemiology/oxford.asp</w:t>
      </w:r>
      <w:r>
        <w:rPr>
          <w:rFonts w:hint="eastAsia"/>
          <w:sz w:val="24"/>
          <w:szCs w:val="22"/>
        </w:rPr>
        <w:t>.</w:t>
      </w:r>
      <w:r w:rsidRPr="0066605A">
        <w:rPr>
          <w:sz w:val="24"/>
          <w:szCs w:val="22"/>
        </w:rPr>
        <w:t xml:space="preserve"> Accessed August 23, 2014.</w:t>
      </w:r>
    </w:p>
    <w:p w:rsidR="00861D70" w:rsidRPr="00E10D1D" w:rsidRDefault="00861D70" w:rsidP="00655566">
      <w:pPr>
        <w:pStyle w:val="a5"/>
        <w:numPr>
          <w:ilvl w:val="0"/>
          <w:numId w:val="3"/>
        </w:numPr>
        <w:spacing w:line="360" w:lineRule="auto"/>
        <w:ind w:left="408" w:hangingChars="170" w:hanging="408"/>
        <w:rPr>
          <w:sz w:val="24"/>
          <w:szCs w:val="22"/>
        </w:rPr>
      </w:pPr>
      <w:r w:rsidRPr="00E10D1D">
        <w:rPr>
          <w:sz w:val="24"/>
          <w:szCs w:val="22"/>
        </w:rPr>
        <w:t>Brewin CR, Andrews B, Valentine JD</w:t>
      </w:r>
      <w:r>
        <w:rPr>
          <w:sz w:val="24"/>
          <w:szCs w:val="22"/>
        </w:rPr>
        <w:t>.</w:t>
      </w:r>
      <w:r w:rsidRPr="00E10D1D">
        <w:rPr>
          <w:sz w:val="24"/>
          <w:szCs w:val="22"/>
        </w:rPr>
        <w:t xml:space="preserve"> Meta-Analysis of Risk Factors for Posttraumatic Stress Disorder in Trauma-Exposed Adults</w:t>
      </w:r>
      <w:r>
        <w:rPr>
          <w:sz w:val="24"/>
          <w:szCs w:val="22"/>
        </w:rPr>
        <w:t>.</w:t>
      </w:r>
      <w:r w:rsidR="00C80B02">
        <w:rPr>
          <w:rFonts w:hint="eastAsia"/>
          <w:sz w:val="24"/>
          <w:szCs w:val="22"/>
        </w:rPr>
        <w:t xml:space="preserve"> </w:t>
      </w:r>
      <w:r w:rsidRPr="00C80B02">
        <w:rPr>
          <w:sz w:val="24"/>
          <w:szCs w:val="22"/>
        </w:rPr>
        <w:t>Journal of Consulting and Clinical Psychology</w:t>
      </w:r>
      <w:r w:rsidR="00C80B02">
        <w:rPr>
          <w:rFonts w:hint="eastAsia"/>
          <w:i/>
          <w:sz w:val="24"/>
          <w:szCs w:val="22"/>
        </w:rPr>
        <w:t xml:space="preserve"> </w:t>
      </w:r>
      <w:r w:rsidRPr="00E10D1D">
        <w:rPr>
          <w:sz w:val="24"/>
          <w:szCs w:val="22"/>
        </w:rPr>
        <w:t>2000;68:748-766</w:t>
      </w:r>
      <w:r>
        <w:rPr>
          <w:sz w:val="24"/>
          <w:szCs w:val="22"/>
        </w:rPr>
        <w:t>.</w:t>
      </w:r>
    </w:p>
    <w:p w:rsidR="00861D70" w:rsidRPr="00E10D1D" w:rsidRDefault="00861D70" w:rsidP="00655566">
      <w:pPr>
        <w:pStyle w:val="a5"/>
        <w:numPr>
          <w:ilvl w:val="0"/>
          <w:numId w:val="3"/>
        </w:numPr>
        <w:adjustRightInd w:val="0"/>
        <w:snapToGrid w:val="0"/>
        <w:spacing w:line="360" w:lineRule="auto"/>
        <w:ind w:left="408" w:hangingChars="170" w:hanging="408"/>
        <w:rPr>
          <w:sz w:val="24"/>
          <w:szCs w:val="22"/>
        </w:rPr>
      </w:pPr>
      <w:r w:rsidRPr="00E10D1D">
        <w:rPr>
          <w:sz w:val="24"/>
          <w:szCs w:val="22"/>
        </w:rPr>
        <w:t xml:space="preserve">Higgins JP, Thompson SG, Deeks JJ, </w:t>
      </w:r>
      <w:r w:rsidR="00655566" w:rsidRPr="00E239DF">
        <w:rPr>
          <w:rFonts w:hint="eastAsia"/>
          <w:sz w:val="24"/>
          <w:szCs w:val="24"/>
        </w:rPr>
        <w:t>et al</w:t>
      </w:r>
      <w:r w:rsidR="00655566">
        <w:rPr>
          <w:rFonts w:hint="eastAsia"/>
          <w:sz w:val="24"/>
          <w:szCs w:val="24"/>
        </w:rPr>
        <w:t>.</w:t>
      </w:r>
      <w:r w:rsidRPr="00E10D1D">
        <w:rPr>
          <w:sz w:val="24"/>
          <w:szCs w:val="22"/>
        </w:rPr>
        <w:t xml:space="preserve"> Measuring inconsistency in meta-analyses</w:t>
      </w:r>
      <w:r>
        <w:rPr>
          <w:sz w:val="24"/>
          <w:szCs w:val="22"/>
        </w:rPr>
        <w:t>.</w:t>
      </w:r>
      <w:r w:rsidR="00C80B02">
        <w:rPr>
          <w:rFonts w:hint="eastAsia"/>
          <w:sz w:val="24"/>
          <w:szCs w:val="22"/>
        </w:rPr>
        <w:t xml:space="preserve"> </w:t>
      </w:r>
      <w:r w:rsidRPr="00C80B02">
        <w:rPr>
          <w:sz w:val="24"/>
          <w:szCs w:val="22"/>
        </w:rPr>
        <w:t xml:space="preserve">BMJ </w:t>
      </w:r>
      <w:r>
        <w:rPr>
          <w:sz w:val="24"/>
          <w:szCs w:val="22"/>
        </w:rPr>
        <w:t>2003;327:</w:t>
      </w:r>
      <w:r w:rsidRPr="00E10D1D">
        <w:rPr>
          <w:sz w:val="24"/>
          <w:szCs w:val="22"/>
        </w:rPr>
        <w:t>557–560</w:t>
      </w:r>
      <w:r>
        <w:rPr>
          <w:sz w:val="24"/>
          <w:szCs w:val="22"/>
        </w:rPr>
        <w:t>.</w:t>
      </w:r>
    </w:p>
    <w:p w:rsidR="00861D70" w:rsidRPr="00E10D1D" w:rsidRDefault="00861D70" w:rsidP="00655566">
      <w:pPr>
        <w:numPr>
          <w:ilvl w:val="0"/>
          <w:numId w:val="3"/>
        </w:numPr>
        <w:adjustRightInd w:val="0"/>
        <w:snapToGrid w:val="0"/>
        <w:spacing w:line="360" w:lineRule="auto"/>
        <w:ind w:left="408" w:hangingChars="170" w:hanging="408"/>
        <w:rPr>
          <w:sz w:val="24"/>
          <w:szCs w:val="22"/>
        </w:rPr>
      </w:pPr>
      <w:r w:rsidRPr="00E10D1D">
        <w:rPr>
          <w:sz w:val="24"/>
          <w:szCs w:val="22"/>
        </w:rPr>
        <w:t>Landis JR, Koch GG</w:t>
      </w:r>
      <w:r>
        <w:rPr>
          <w:sz w:val="24"/>
          <w:szCs w:val="22"/>
        </w:rPr>
        <w:t>.</w:t>
      </w:r>
      <w:r w:rsidRPr="00E10D1D">
        <w:rPr>
          <w:sz w:val="24"/>
          <w:szCs w:val="22"/>
        </w:rPr>
        <w:t xml:space="preserve"> The measurement of observer agreement for categorical data</w:t>
      </w:r>
      <w:r>
        <w:rPr>
          <w:sz w:val="24"/>
          <w:szCs w:val="22"/>
        </w:rPr>
        <w:t>.</w:t>
      </w:r>
      <w:r w:rsidR="00C80B02">
        <w:rPr>
          <w:rFonts w:hint="eastAsia"/>
          <w:sz w:val="24"/>
          <w:szCs w:val="22"/>
        </w:rPr>
        <w:t xml:space="preserve"> </w:t>
      </w:r>
      <w:r w:rsidRPr="00C80B02">
        <w:rPr>
          <w:sz w:val="24"/>
          <w:szCs w:val="22"/>
        </w:rPr>
        <w:t>Biometrics</w:t>
      </w:r>
      <w:r w:rsidR="00C80B02" w:rsidRPr="00C80B02">
        <w:rPr>
          <w:rFonts w:hint="eastAsia"/>
          <w:sz w:val="24"/>
          <w:szCs w:val="22"/>
        </w:rPr>
        <w:t xml:space="preserve"> </w:t>
      </w:r>
      <w:r>
        <w:rPr>
          <w:sz w:val="24"/>
          <w:szCs w:val="22"/>
        </w:rPr>
        <w:t>1977;33:159-174</w:t>
      </w:r>
      <w:r>
        <w:rPr>
          <w:rFonts w:hint="eastAsia"/>
          <w:sz w:val="24"/>
          <w:szCs w:val="22"/>
        </w:rPr>
        <w:t>.</w:t>
      </w:r>
    </w:p>
    <w:p w:rsidR="00C80B02" w:rsidRPr="00323EE6" w:rsidRDefault="00861D70" w:rsidP="00C80B02">
      <w:pPr>
        <w:numPr>
          <w:ilvl w:val="0"/>
          <w:numId w:val="3"/>
        </w:numPr>
        <w:adjustRightInd w:val="0"/>
        <w:snapToGrid w:val="0"/>
        <w:spacing w:line="360" w:lineRule="auto"/>
        <w:ind w:left="408" w:hangingChars="170" w:hanging="408"/>
        <w:rPr>
          <w:sz w:val="24"/>
          <w:szCs w:val="22"/>
        </w:rPr>
        <w:sectPr w:rsidR="00C80B02" w:rsidRPr="00323EE6" w:rsidSect="00AA0E61">
          <w:footerReference w:type="default" r:id="rId8"/>
          <w:pgSz w:w="11906" w:h="16838" w:code="9"/>
          <w:pgMar w:top="1440" w:right="1440" w:bottom="1440" w:left="1440" w:header="851" w:footer="992" w:gutter="0"/>
          <w:cols w:space="720"/>
          <w:docGrid w:type="lines" w:linePitch="312"/>
        </w:sectPr>
      </w:pPr>
      <w:r w:rsidRPr="00E10D1D">
        <w:rPr>
          <w:sz w:val="24"/>
          <w:szCs w:val="22"/>
        </w:rPr>
        <w:t>Reichenheim ME</w:t>
      </w:r>
      <w:r>
        <w:rPr>
          <w:sz w:val="24"/>
          <w:szCs w:val="22"/>
        </w:rPr>
        <w:t>.</w:t>
      </w:r>
      <w:r w:rsidRPr="00E10D1D">
        <w:rPr>
          <w:sz w:val="24"/>
          <w:szCs w:val="22"/>
        </w:rPr>
        <w:t xml:space="preserve"> Confidence intervals for the kappa statistic</w:t>
      </w:r>
      <w:r>
        <w:rPr>
          <w:sz w:val="24"/>
          <w:szCs w:val="22"/>
        </w:rPr>
        <w:t>.</w:t>
      </w:r>
      <w:r w:rsidR="00C80B02">
        <w:rPr>
          <w:rFonts w:hint="eastAsia"/>
          <w:sz w:val="24"/>
          <w:szCs w:val="22"/>
        </w:rPr>
        <w:t xml:space="preserve"> </w:t>
      </w:r>
      <w:r w:rsidRPr="00C80B02">
        <w:rPr>
          <w:sz w:val="24"/>
          <w:szCs w:val="22"/>
        </w:rPr>
        <w:t xml:space="preserve">Stata J </w:t>
      </w:r>
      <w:r w:rsidRPr="00E10D1D">
        <w:rPr>
          <w:sz w:val="24"/>
          <w:szCs w:val="22"/>
        </w:rPr>
        <w:t>2004;4:421-428</w:t>
      </w:r>
      <w:bookmarkStart w:id="4" w:name="_GoBack"/>
      <w:bookmarkEnd w:id="4"/>
      <w:r w:rsidR="00C80B02">
        <w:rPr>
          <w:rFonts w:hint="eastAsia"/>
          <w:sz w:val="24"/>
          <w:szCs w:val="22"/>
        </w:rPr>
        <w:t>.</w:t>
      </w:r>
    </w:p>
    <w:p w:rsidR="007F7AC5" w:rsidRPr="00E10D1D" w:rsidRDefault="007F7AC5" w:rsidP="00861D70">
      <w:pPr>
        <w:adjustRightInd w:val="0"/>
        <w:snapToGrid w:val="0"/>
        <w:rPr>
          <w:sz w:val="24"/>
          <w:szCs w:val="22"/>
        </w:rPr>
      </w:pPr>
    </w:p>
    <w:sectPr w:rsidR="007F7AC5" w:rsidRPr="00E10D1D" w:rsidSect="008A7950">
      <w:pgSz w:w="11906" w:h="16838" w:code="9"/>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FE4" w:rsidRDefault="00BC3FE4" w:rsidP="00DC7CEE">
      <w:r>
        <w:separator/>
      </w:r>
    </w:p>
  </w:endnote>
  <w:endnote w:type="continuationSeparator" w:id="1">
    <w:p w:rsidR="00BC3FE4" w:rsidRDefault="00BC3FE4" w:rsidP="00DC7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422064"/>
      <w:docPartObj>
        <w:docPartGallery w:val="Page Numbers (Bottom of Page)"/>
        <w:docPartUnique/>
      </w:docPartObj>
    </w:sdtPr>
    <w:sdtContent>
      <w:p w:rsidR="00567301" w:rsidRDefault="00EB1567">
        <w:pPr>
          <w:pStyle w:val="a4"/>
          <w:jc w:val="right"/>
        </w:pPr>
        <w:r>
          <w:fldChar w:fldCharType="begin"/>
        </w:r>
        <w:r w:rsidR="00567301">
          <w:instrText>PAGE   \* MERGEFORMAT</w:instrText>
        </w:r>
        <w:r>
          <w:fldChar w:fldCharType="separate"/>
        </w:r>
        <w:r w:rsidR="00323EE6" w:rsidRPr="00323EE6">
          <w:rPr>
            <w:noProof/>
            <w:lang w:val="zh-CN"/>
          </w:rPr>
          <w:t>4</w:t>
        </w:r>
        <w:r>
          <w:fldChar w:fldCharType="end"/>
        </w:r>
      </w:p>
    </w:sdtContent>
  </w:sdt>
  <w:p w:rsidR="008B74EB" w:rsidRDefault="008B74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FE4" w:rsidRDefault="00BC3FE4" w:rsidP="00DC7CEE">
      <w:r>
        <w:separator/>
      </w:r>
    </w:p>
  </w:footnote>
  <w:footnote w:type="continuationSeparator" w:id="1">
    <w:p w:rsidR="00BC3FE4" w:rsidRDefault="00BC3FE4" w:rsidP="00DC7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1FAEFDC"/>
    <w:lvl w:ilvl="0">
      <w:start w:val="1"/>
      <w:numFmt w:val="decimal"/>
      <w:suff w:val="space"/>
      <w:lvlText w:val="%1."/>
      <w:lvlJc w:val="left"/>
      <w:rPr>
        <w:i w:val="0"/>
      </w:rPr>
    </w:lvl>
  </w:abstractNum>
  <w:abstractNum w:abstractNumId="1">
    <w:nsid w:val="00000003"/>
    <w:multiLevelType w:val="singleLevel"/>
    <w:tmpl w:val="00000003"/>
    <w:lvl w:ilvl="0">
      <w:start w:val="1"/>
      <w:numFmt w:val="decimal"/>
      <w:suff w:val="space"/>
      <w:lvlText w:val="%1."/>
      <w:lvlJc w:val="left"/>
    </w:lvl>
  </w:abstractNum>
  <w:abstractNum w:abstractNumId="2">
    <w:nsid w:val="18FA70F3"/>
    <w:multiLevelType w:val="hybridMultilevel"/>
    <w:tmpl w:val="A70279C8"/>
    <w:lvl w:ilvl="0" w:tplc="443E6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5918"/>
    <w:rsid w:val="00036FC5"/>
    <w:rsid w:val="00052A09"/>
    <w:rsid w:val="000612D5"/>
    <w:rsid w:val="000B0B3D"/>
    <w:rsid w:val="000E00E8"/>
    <w:rsid w:val="00115458"/>
    <w:rsid w:val="00117FDB"/>
    <w:rsid w:val="001473C1"/>
    <w:rsid w:val="00157A80"/>
    <w:rsid w:val="00160C1E"/>
    <w:rsid w:val="0016245A"/>
    <w:rsid w:val="001845B1"/>
    <w:rsid w:val="00184EA2"/>
    <w:rsid w:val="001976DE"/>
    <w:rsid w:val="001A337B"/>
    <w:rsid w:val="001B275E"/>
    <w:rsid w:val="001D315A"/>
    <w:rsid w:val="001D6C23"/>
    <w:rsid w:val="001F036E"/>
    <w:rsid w:val="001F095F"/>
    <w:rsid w:val="00201447"/>
    <w:rsid w:val="00212738"/>
    <w:rsid w:val="00274809"/>
    <w:rsid w:val="00274C08"/>
    <w:rsid w:val="00277BED"/>
    <w:rsid w:val="002A0DC9"/>
    <w:rsid w:val="002C0A45"/>
    <w:rsid w:val="002C32EF"/>
    <w:rsid w:val="002F73D2"/>
    <w:rsid w:val="002F77F5"/>
    <w:rsid w:val="00300B61"/>
    <w:rsid w:val="0031189F"/>
    <w:rsid w:val="00315C03"/>
    <w:rsid w:val="00323EE6"/>
    <w:rsid w:val="00333730"/>
    <w:rsid w:val="00336DA5"/>
    <w:rsid w:val="00355FEF"/>
    <w:rsid w:val="003649BD"/>
    <w:rsid w:val="00375ABC"/>
    <w:rsid w:val="00393533"/>
    <w:rsid w:val="003A6B3C"/>
    <w:rsid w:val="003A717F"/>
    <w:rsid w:val="003B7FD0"/>
    <w:rsid w:val="003C328D"/>
    <w:rsid w:val="003C60EA"/>
    <w:rsid w:val="003C7D9A"/>
    <w:rsid w:val="003E1C57"/>
    <w:rsid w:val="003E7448"/>
    <w:rsid w:val="003F493B"/>
    <w:rsid w:val="004037D9"/>
    <w:rsid w:val="00406C53"/>
    <w:rsid w:val="00441DD9"/>
    <w:rsid w:val="00445A6B"/>
    <w:rsid w:val="00466E2C"/>
    <w:rsid w:val="004735A8"/>
    <w:rsid w:val="004A0158"/>
    <w:rsid w:val="004F23D3"/>
    <w:rsid w:val="004F3662"/>
    <w:rsid w:val="004F36E6"/>
    <w:rsid w:val="004F7613"/>
    <w:rsid w:val="00532932"/>
    <w:rsid w:val="00557294"/>
    <w:rsid w:val="00567301"/>
    <w:rsid w:val="00587E2B"/>
    <w:rsid w:val="005A1579"/>
    <w:rsid w:val="00655566"/>
    <w:rsid w:val="00656FBA"/>
    <w:rsid w:val="006576D4"/>
    <w:rsid w:val="0066605A"/>
    <w:rsid w:val="00687AAB"/>
    <w:rsid w:val="00694A32"/>
    <w:rsid w:val="006C63F0"/>
    <w:rsid w:val="006D4B8E"/>
    <w:rsid w:val="006E09FA"/>
    <w:rsid w:val="006E5B3D"/>
    <w:rsid w:val="00707A52"/>
    <w:rsid w:val="00715ABD"/>
    <w:rsid w:val="00726384"/>
    <w:rsid w:val="007547C0"/>
    <w:rsid w:val="007826B8"/>
    <w:rsid w:val="00783884"/>
    <w:rsid w:val="007D2160"/>
    <w:rsid w:val="007E4124"/>
    <w:rsid w:val="007F3D8F"/>
    <w:rsid w:val="007F7AC5"/>
    <w:rsid w:val="00821859"/>
    <w:rsid w:val="00827C42"/>
    <w:rsid w:val="008435AA"/>
    <w:rsid w:val="008462A4"/>
    <w:rsid w:val="00851FC9"/>
    <w:rsid w:val="0085305F"/>
    <w:rsid w:val="00861D70"/>
    <w:rsid w:val="008A4DC8"/>
    <w:rsid w:val="008A7950"/>
    <w:rsid w:val="008B5A50"/>
    <w:rsid w:val="008B62B9"/>
    <w:rsid w:val="008B74EB"/>
    <w:rsid w:val="008C788B"/>
    <w:rsid w:val="008D4D5A"/>
    <w:rsid w:val="008D4F87"/>
    <w:rsid w:val="00905107"/>
    <w:rsid w:val="00953C95"/>
    <w:rsid w:val="0095435B"/>
    <w:rsid w:val="00974524"/>
    <w:rsid w:val="00984831"/>
    <w:rsid w:val="009955FD"/>
    <w:rsid w:val="00996F29"/>
    <w:rsid w:val="009A576C"/>
    <w:rsid w:val="009B037E"/>
    <w:rsid w:val="009E08B4"/>
    <w:rsid w:val="00A022CC"/>
    <w:rsid w:val="00A666D3"/>
    <w:rsid w:val="00A82B59"/>
    <w:rsid w:val="00A8386D"/>
    <w:rsid w:val="00A8599C"/>
    <w:rsid w:val="00A9111C"/>
    <w:rsid w:val="00A943D6"/>
    <w:rsid w:val="00A964CC"/>
    <w:rsid w:val="00A966E9"/>
    <w:rsid w:val="00AA0E61"/>
    <w:rsid w:val="00AB01C9"/>
    <w:rsid w:val="00AB10C2"/>
    <w:rsid w:val="00AB1BFC"/>
    <w:rsid w:val="00AF3984"/>
    <w:rsid w:val="00B1539B"/>
    <w:rsid w:val="00B153FB"/>
    <w:rsid w:val="00B2109F"/>
    <w:rsid w:val="00B30C7D"/>
    <w:rsid w:val="00B315AF"/>
    <w:rsid w:val="00B5592D"/>
    <w:rsid w:val="00B8726B"/>
    <w:rsid w:val="00BA22CC"/>
    <w:rsid w:val="00BB3016"/>
    <w:rsid w:val="00BC3FE4"/>
    <w:rsid w:val="00BD40EE"/>
    <w:rsid w:val="00BD560B"/>
    <w:rsid w:val="00BF24FF"/>
    <w:rsid w:val="00C036B8"/>
    <w:rsid w:val="00C03968"/>
    <w:rsid w:val="00C30BB2"/>
    <w:rsid w:val="00C3120C"/>
    <w:rsid w:val="00C50E9C"/>
    <w:rsid w:val="00C80B02"/>
    <w:rsid w:val="00CB763E"/>
    <w:rsid w:val="00CD1032"/>
    <w:rsid w:val="00CD7A81"/>
    <w:rsid w:val="00D1073F"/>
    <w:rsid w:val="00D45918"/>
    <w:rsid w:val="00D76A90"/>
    <w:rsid w:val="00D85930"/>
    <w:rsid w:val="00DC7CEE"/>
    <w:rsid w:val="00DF2D50"/>
    <w:rsid w:val="00DF6F54"/>
    <w:rsid w:val="00DF7017"/>
    <w:rsid w:val="00E10D1D"/>
    <w:rsid w:val="00E14B94"/>
    <w:rsid w:val="00E21A20"/>
    <w:rsid w:val="00E35582"/>
    <w:rsid w:val="00E419C2"/>
    <w:rsid w:val="00E55456"/>
    <w:rsid w:val="00E641D6"/>
    <w:rsid w:val="00E74082"/>
    <w:rsid w:val="00E8502A"/>
    <w:rsid w:val="00EB13D9"/>
    <w:rsid w:val="00EB1567"/>
    <w:rsid w:val="00EB240B"/>
    <w:rsid w:val="00ED2B00"/>
    <w:rsid w:val="00EF7B29"/>
    <w:rsid w:val="00F032D1"/>
    <w:rsid w:val="00F11F86"/>
    <w:rsid w:val="00F567AB"/>
    <w:rsid w:val="00F62F50"/>
    <w:rsid w:val="00F74D52"/>
    <w:rsid w:val="00FB2256"/>
    <w:rsid w:val="00FC58BD"/>
    <w:rsid w:val="00FC5A43"/>
    <w:rsid w:val="00FF07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EE"/>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7CEE"/>
    <w:rPr>
      <w:sz w:val="18"/>
      <w:szCs w:val="18"/>
    </w:rPr>
  </w:style>
  <w:style w:type="paragraph" w:styleId="a4">
    <w:name w:val="footer"/>
    <w:basedOn w:val="a"/>
    <w:link w:val="Char0"/>
    <w:uiPriority w:val="99"/>
    <w:unhideWhenUsed/>
    <w:rsid w:val="00DC7CEE"/>
    <w:pPr>
      <w:tabs>
        <w:tab w:val="center" w:pos="4153"/>
        <w:tab w:val="right" w:pos="8306"/>
      </w:tabs>
      <w:snapToGrid w:val="0"/>
      <w:jc w:val="left"/>
    </w:pPr>
    <w:rPr>
      <w:sz w:val="18"/>
      <w:szCs w:val="18"/>
    </w:rPr>
  </w:style>
  <w:style w:type="character" w:customStyle="1" w:styleId="Char0">
    <w:name w:val="页脚 Char"/>
    <w:basedOn w:val="a0"/>
    <w:link w:val="a4"/>
    <w:uiPriority w:val="99"/>
    <w:rsid w:val="00DC7CEE"/>
    <w:rPr>
      <w:sz w:val="18"/>
      <w:szCs w:val="18"/>
    </w:rPr>
  </w:style>
  <w:style w:type="paragraph" w:styleId="a5">
    <w:name w:val="List Paragraph"/>
    <w:basedOn w:val="a"/>
    <w:uiPriority w:val="34"/>
    <w:qFormat/>
    <w:rsid w:val="0085305F"/>
    <w:pPr>
      <w:ind w:firstLineChars="200" w:firstLine="420"/>
    </w:pPr>
  </w:style>
  <w:style w:type="paragraph" w:styleId="a6">
    <w:name w:val="Balloon Text"/>
    <w:basedOn w:val="a"/>
    <w:link w:val="Char1"/>
    <w:uiPriority w:val="99"/>
    <w:semiHidden/>
    <w:unhideWhenUsed/>
    <w:rsid w:val="008B74EB"/>
    <w:rPr>
      <w:sz w:val="18"/>
      <w:szCs w:val="18"/>
    </w:rPr>
  </w:style>
  <w:style w:type="character" w:customStyle="1" w:styleId="Char1">
    <w:name w:val="批注框文本 Char"/>
    <w:basedOn w:val="a0"/>
    <w:link w:val="a6"/>
    <w:uiPriority w:val="99"/>
    <w:semiHidden/>
    <w:rsid w:val="008B74E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EE"/>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7CEE"/>
    <w:rPr>
      <w:sz w:val="18"/>
      <w:szCs w:val="18"/>
    </w:rPr>
  </w:style>
  <w:style w:type="paragraph" w:styleId="a4">
    <w:name w:val="footer"/>
    <w:basedOn w:val="a"/>
    <w:link w:val="Char0"/>
    <w:uiPriority w:val="99"/>
    <w:unhideWhenUsed/>
    <w:rsid w:val="00DC7CEE"/>
    <w:pPr>
      <w:tabs>
        <w:tab w:val="center" w:pos="4153"/>
        <w:tab w:val="right" w:pos="8306"/>
      </w:tabs>
      <w:snapToGrid w:val="0"/>
      <w:jc w:val="left"/>
    </w:pPr>
    <w:rPr>
      <w:sz w:val="18"/>
      <w:szCs w:val="18"/>
    </w:rPr>
  </w:style>
  <w:style w:type="character" w:customStyle="1" w:styleId="Char0">
    <w:name w:val="页脚 Char"/>
    <w:basedOn w:val="a0"/>
    <w:link w:val="a4"/>
    <w:uiPriority w:val="99"/>
    <w:rsid w:val="00DC7CEE"/>
    <w:rPr>
      <w:sz w:val="18"/>
      <w:szCs w:val="18"/>
    </w:rPr>
  </w:style>
  <w:style w:type="paragraph" w:styleId="a5">
    <w:name w:val="List Paragraph"/>
    <w:basedOn w:val="a"/>
    <w:uiPriority w:val="34"/>
    <w:qFormat/>
    <w:rsid w:val="0085305F"/>
    <w:pPr>
      <w:ind w:firstLineChars="200" w:firstLine="420"/>
    </w:pPr>
  </w:style>
  <w:style w:type="paragraph" w:styleId="a6">
    <w:name w:val="Balloon Text"/>
    <w:basedOn w:val="a"/>
    <w:link w:val="Char1"/>
    <w:uiPriority w:val="99"/>
    <w:semiHidden/>
    <w:unhideWhenUsed/>
    <w:rsid w:val="008B74EB"/>
    <w:rPr>
      <w:sz w:val="18"/>
      <w:szCs w:val="18"/>
    </w:rPr>
  </w:style>
  <w:style w:type="character" w:customStyle="1" w:styleId="Char1">
    <w:name w:val="批注框文本 Char"/>
    <w:basedOn w:val="a0"/>
    <w:link w:val="a6"/>
    <w:uiPriority w:val="99"/>
    <w:semiHidden/>
    <w:rsid w:val="008B74E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5050020">
      <w:bodyDiv w:val="1"/>
      <w:marLeft w:val="0"/>
      <w:marRight w:val="0"/>
      <w:marTop w:val="0"/>
      <w:marBottom w:val="0"/>
      <w:divBdr>
        <w:top w:val="none" w:sz="0" w:space="0" w:color="auto"/>
        <w:left w:val="none" w:sz="0" w:space="0" w:color="auto"/>
        <w:bottom w:val="none" w:sz="0" w:space="0" w:color="auto"/>
        <w:right w:val="none" w:sz="0" w:space="0" w:color="auto"/>
      </w:divBdr>
    </w:div>
    <w:div w:id="465511366">
      <w:bodyDiv w:val="1"/>
      <w:marLeft w:val="0"/>
      <w:marRight w:val="0"/>
      <w:marTop w:val="0"/>
      <w:marBottom w:val="0"/>
      <w:divBdr>
        <w:top w:val="none" w:sz="0" w:space="0" w:color="auto"/>
        <w:left w:val="none" w:sz="0" w:space="0" w:color="auto"/>
        <w:bottom w:val="none" w:sz="0" w:space="0" w:color="auto"/>
        <w:right w:val="none" w:sz="0" w:space="0" w:color="auto"/>
      </w:divBdr>
    </w:div>
    <w:div w:id="700126816">
      <w:bodyDiv w:val="1"/>
      <w:marLeft w:val="0"/>
      <w:marRight w:val="0"/>
      <w:marTop w:val="0"/>
      <w:marBottom w:val="0"/>
      <w:divBdr>
        <w:top w:val="none" w:sz="0" w:space="0" w:color="auto"/>
        <w:left w:val="none" w:sz="0" w:space="0" w:color="auto"/>
        <w:bottom w:val="none" w:sz="0" w:space="0" w:color="auto"/>
        <w:right w:val="none" w:sz="0" w:space="0" w:color="auto"/>
      </w:divBdr>
    </w:div>
    <w:div w:id="770205666">
      <w:bodyDiv w:val="1"/>
      <w:marLeft w:val="0"/>
      <w:marRight w:val="0"/>
      <w:marTop w:val="0"/>
      <w:marBottom w:val="0"/>
      <w:divBdr>
        <w:top w:val="none" w:sz="0" w:space="0" w:color="auto"/>
        <w:left w:val="none" w:sz="0" w:space="0" w:color="auto"/>
        <w:bottom w:val="none" w:sz="0" w:space="0" w:color="auto"/>
        <w:right w:val="none" w:sz="0" w:space="0" w:color="auto"/>
      </w:divBdr>
    </w:div>
    <w:div w:id="1321926676">
      <w:bodyDiv w:val="1"/>
      <w:marLeft w:val="0"/>
      <w:marRight w:val="0"/>
      <w:marTop w:val="0"/>
      <w:marBottom w:val="0"/>
      <w:divBdr>
        <w:top w:val="none" w:sz="0" w:space="0" w:color="auto"/>
        <w:left w:val="none" w:sz="0" w:space="0" w:color="auto"/>
        <w:bottom w:val="none" w:sz="0" w:space="0" w:color="auto"/>
        <w:right w:val="none" w:sz="0" w:space="0" w:color="auto"/>
      </w:divBdr>
    </w:div>
    <w:div w:id="15026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CEC0-F88F-470D-A07D-7948BDF9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5</Pages>
  <Words>1306</Words>
  <Characters>7445</Characters>
  <Application>Microsoft Office Word</Application>
  <DocSecurity>0</DocSecurity>
  <Lines>62</Lines>
  <Paragraphs>17</Paragraphs>
  <ScaleCrop>false</ScaleCrop>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zhangdanfeng</dc:creator>
  <cp:lastModifiedBy>dell</cp:lastModifiedBy>
  <cp:revision>141</cp:revision>
  <cp:lastPrinted>2014-11-30T03:17:00Z</cp:lastPrinted>
  <dcterms:created xsi:type="dcterms:W3CDTF">2014-10-26T07:56:00Z</dcterms:created>
  <dcterms:modified xsi:type="dcterms:W3CDTF">2015-04-21T10:09:00Z</dcterms:modified>
</cp:coreProperties>
</file>