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440"/>
        <w:gridCol w:w="1260"/>
        <w:gridCol w:w="1170"/>
        <w:gridCol w:w="1350"/>
        <w:gridCol w:w="1080"/>
        <w:gridCol w:w="1260"/>
        <w:gridCol w:w="1260"/>
        <w:gridCol w:w="2070"/>
      </w:tblGrid>
      <w:tr w:rsidR="005B0ECC" w:rsidRPr="007357DA" w:rsidTr="0088029E">
        <w:trPr>
          <w:trHeight w:val="2460"/>
        </w:trPr>
        <w:tc>
          <w:tcPr>
            <w:tcW w:w="138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ECC" w:rsidRPr="002C0D0C" w:rsidRDefault="005B0ECC" w:rsidP="0088029E">
            <w:pPr>
              <w:spacing w:after="0"/>
              <w:jc w:val="both"/>
              <w:rPr>
                <w:b/>
                <w:u w:val="single"/>
              </w:rPr>
            </w:pPr>
            <w:r w:rsidRPr="007357DA">
              <w:rPr>
                <w:b/>
                <w:u w:val="single"/>
              </w:rPr>
              <w:br w:type="page"/>
            </w:r>
            <w:r w:rsidRPr="007357DA">
              <w:rPr>
                <w:rFonts w:ascii="Calibri" w:eastAsia="Times New Roman" w:hAnsi="Calibri" w:cs="Calibri"/>
                <w:b/>
                <w:bCs/>
              </w:rPr>
              <w:t xml:space="preserve">Appendix. </w:t>
            </w:r>
            <w:r w:rsidRPr="007357DA">
              <w:rPr>
                <w:rFonts w:ascii="Calibri" w:eastAsia="Times New Roman" w:hAnsi="Calibri" w:cs="Calibri"/>
              </w:rPr>
              <w:t xml:space="preserve">Complete dataset of all medications. Shown are the total 75 medications with enough data to be used by at least one group member; seventy-one of the medications were able to be used for the Modified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Kroh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analysis in this study. Parameters include: D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N</w:t>
            </w:r>
            <w:r w:rsidRPr="007357DA">
              <w:rPr>
                <w:rFonts w:ascii="Calibri" w:eastAsia="Times New Roman" w:hAnsi="Calibri" w:cs="Calibri"/>
              </w:rPr>
              <w:t xml:space="preserve"> (dose in person with normal renal function based on package insert), CL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 xml:space="preserve">ESRD </w:t>
            </w:r>
            <w:r w:rsidRPr="007357DA">
              <w:rPr>
                <w:rFonts w:ascii="Calibri" w:eastAsia="Times New Roman" w:hAnsi="Calibri" w:cs="Calibri"/>
              </w:rPr>
              <w:t xml:space="preserve">(total body clearance in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anuric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person with ESRD), CL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N</w:t>
            </w:r>
            <w:r w:rsidRPr="007357DA">
              <w:rPr>
                <w:rFonts w:ascii="Calibri" w:eastAsia="Times New Roman" w:hAnsi="Calibri" w:cs="Calibri"/>
              </w:rPr>
              <w:t xml:space="preserve"> (total body clearance in person with normal renal function),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Aronoff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et al. dose (dose given in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Aronoff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text), CL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 xml:space="preserve">AKI </w:t>
            </w:r>
            <w:r w:rsidRPr="007357DA">
              <w:rPr>
                <w:rFonts w:ascii="Calibri" w:eastAsia="Times New Roman" w:hAnsi="Calibri" w:cs="Calibri"/>
              </w:rPr>
              <w:t xml:space="preserve">(total body clearance in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anuric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person with AKI), S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C</w:t>
            </w:r>
            <w:r w:rsidRPr="007357DA">
              <w:rPr>
                <w:rFonts w:ascii="Calibri" w:eastAsia="Times New Roman" w:hAnsi="Calibri" w:cs="Calibri"/>
              </w:rPr>
              <w:t xml:space="preserve"> (sieving coefficient),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D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anuria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(recommended dose in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anuric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patients based on package insert), and CL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NR</w:t>
            </w:r>
            <w:r w:rsidRPr="007357DA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nonrenal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drug clearance in an individual with normal renal function). Not displayed are the assumed constants: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CL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CRtot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(33ml/min; sum of renal and extracorporeal creatinine clearance in an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anuric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patient undergoing CRRT), </w:t>
            </w:r>
            <w:proofErr w:type="spellStart"/>
            <w:r w:rsidRPr="007357DA">
              <w:rPr>
                <w:rFonts w:ascii="Calibri" w:eastAsia="Times New Roman" w:hAnsi="Calibri" w:cs="Calibri"/>
              </w:rPr>
              <w:t>CL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CRn</w:t>
            </w:r>
            <w:proofErr w:type="spellEnd"/>
            <w:r w:rsidRPr="007357DA">
              <w:rPr>
                <w:rFonts w:ascii="Calibri" w:eastAsia="Times New Roman" w:hAnsi="Calibri" w:cs="Calibri"/>
              </w:rPr>
              <w:t xml:space="preserve"> (100ml/min; normal creatinine clearance for patient with normal renal function), and Q</w:t>
            </w:r>
            <w:r w:rsidRPr="007357DA">
              <w:rPr>
                <w:rFonts w:ascii="Calibri" w:eastAsia="Times New Roman" w:hAnsi="Calibri" w:cs="Calibri"/>
                <w:vertAlign w:val="subscript"/>
              </w:rPr>
              <w:t>F</w:t>
            </w:r>
            <w:r w:rsidRPr="007357DA">
              <w:rPr>
                <w:rFonts w:ascii="Calibri" w:eastAsia="Times New Roman" w:hAnsi="Calibri" w:cs="Calibri"/>
              </w:rPr>
              <w:t xml:space="preserve"> (33.3ml/min; ultrafiltration rate). Asterisk (*) denotes data was not found.</w:t>
            </w:r>
          </w:p>
        </w:tc>
      </w:tr>
      <w:tr w:rsidR="005B0ECC" w:rsidRPr="007357DA" w:rsidTr="0088029E">
        <w:trPr>
          <w:trHeight w:val="54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Drug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2C0D0C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>N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(mg/day)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>ESRD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(mL/min)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>N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(mL/min)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Aronoff</w:t>
            </w:r>
            <w:proofErr w:type="spellEnd"/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et al. Dose (mg/day)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 xml:space="preserve">AKI 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(mL/min)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>C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>anuria</w:t>
            </w:r>
            <w:proofErr w:type="spellEnd"/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(mg/day)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(mL/min)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ECC" w:rsidRPr="007357DA" w:rsidRDefault="005B0ECC" w:rsidP="0088029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References</w:t>
            </w:r>
          </w:p>
        </w:tc>
      </w:tr>
      <w:tr w:rsidR="005B0ECC" w:rsidRPr="007357DA" w:rsidTr="0088029E">
        <w:trPr>
          <w:trHeight w:val="32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acyclovir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78.86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RW.CITE{{30 [NoInformation] 1997; 31 Blum,M.R. 1982; 32 Boulieu,R. 1997; 33 deMiranda,P. 1983; 34 Khajehdehi,P. 2000; 35 Krasny,H.C. 1982; 223 Laskin,O.L. 1982; 36 Leikin,J.B. 1995; 224 Mueller,B.A. 1993}}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(19-27)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amikacin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RW.CITE{{335 Armendariz,E. 1990; 333 Blair,D.C. 1982; 334 Kinowski,J.M. 1993; 315 TevaMedicines 2010}}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(30-33)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amoxicillin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220.25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50.75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RW.CITE{{260 GlaxoSmithKline 2006; 265 Horber,F.F. 1986; 264 Sjovall,J. 1985; 419 Bennett,W.M. 1983}}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(37-40)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amphotericin 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141.00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92.1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121.10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RW.CITE{{376 AstellasPharmaUS,Inc. 2012; 396 Bekersky,I. 2002; 395 Bellmann,R. 2003; 397 Gussak,H.M. 2001; 398 Janknegt,R. 1992}}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(41-45)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ampicillin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237.94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50.20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RW.CITE{{419 Bennett,W.M. 1983; 264 Sjovall,J. 1985; 267 Blum,R.A. 1989; 266 Meyers,B.R. 1991; 261 Roerig 2009}}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(39,40,46-48)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aztreonam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102.81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37.50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RW.CITE{{224 Mueller,B.A. 1993; 70 [NoInformation] 2009; 66 Adamis,G. 2004; 73 elGuinaidy,M.A. 1989; 74 Fillastre,J.P. 1985; 226 Gerig,J.S. 1984; 227 Janicke,D.M. 1985}}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(27,52-57)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cefazolin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66.60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2.60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RW.CITE{{401 Craig,W.A. 1973; 378 GlaxoSmithKline 2004; 402 Kirby,W.M. 1973}}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(65-67)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cefepime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RW.CITE{{379 Bristol-MyersSquibb,Inc. 2009; 403 Malone,R.S. 2001; 404 Schmaldienst,S. 2000}}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(68-70)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cefotaxime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280.90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110.50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RW.CITE{{405 Fillastre,J.P. 1980; 406 Patel,K.B. 1995; 380 Sanofi-AventisU.S.LLC 2007}}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(71-73)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cefotetan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4.20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RW.CITE{{381 AstraZenecaPharmaceuticalsLP 2004; 407 Ohkawa,M. 1983; 408 Ward,A. 1985}}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(74-76)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cefoxitin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279.00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58.00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RW.CITE{{409 Fillastre,J.P. 1978; 410 Ko,H. 1989; 382 Merk&amp;Co.,Inc. 2006}}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(77-79)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ceftaroline</w:t>
            </w:r>
            <w:proofErr w:type="spellEnd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fosamil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160.00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41.10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RW.CITE{{318 ForestPharmaceuticals 2011; 342 Laudano,J.B. 2011; 343 Steed,M.E. 2010}}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(80-82)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ceftazidime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115.00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RW.CITE{{383 GlaxoSmithKline 2007; 411 Leroy,A. 1984; 412 Mariat,C. 2006}}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(83-85)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ceftriaxone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37.70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23.80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RW.CITE{{413 Cohen,D. 1983; 384 GenetechUSA,Inc. 2010; 414 Kroh,U.F. 1996}}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(86-88)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cefuroxime sodium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4500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13.70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RW.CITE{{415 Davies,S.P. 1991; 385 GlaxoSmithKline 2007; 416 Walstad,R.A. 1983}}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(89-91)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ciprofloxacin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583.33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216.67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RW.CITE{{319 BayerHealthcarePharmaceuticals 2011; 344 Malone,R.S. 2001; 345 Shah,A. 1996; 346 Spooner,A.M. 2011; 347 Wallis,S.C. 2001}}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(92-96)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clindamycin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315.00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1800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263.03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RW.CITE{{274 E.Fougera&amp;Co. 2007; 282 Gatti,G. 1993; 281 Gordon,R.C. 1973}}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(97-99)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daptomycin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3.87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RW.CITE{{232 [NoInformation] 2006; 200 Churchwell,M.D. 2006; 199 Dvorchik,B. 2004; 234 Liang,S.H. 2009; 202 Salama,N.N. 2010; 233 Vilay,A.M. 2011}}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(108-113)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doripenem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28.70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253.89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85.17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RW.CITE{{235 [NoInformation] 2007; 103 Chahine,E.B. 2010; 107 Cirillo,I. 2009; 102 Cirillo,I. 2011; 106 Hidaka,S. 2010; 109 Tanoue,K. 2011}}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(118-123)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ertapenem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16.10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RW.CITE{{236 [NoInformation] 2011; 237 Burkhardt,O. 2009; 238 Eyler,R.Fl 2011; 113 Majumdar,A.K. 2002}}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(128-131)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fluconazole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18.80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5.60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RW.CITE{{399 Brammer,K.W. 1990; 400 Muhl,E. 2000; 377 Pfizer,Inc. 2011}}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(138-140)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foscavir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6300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17.50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148.05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11.93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RW.CITE{{44 [NoInformation] 2006; 110 Aweeka,F.T. 1999; 111 Jayasekara,D. 1999; 239 Noormohamed,F.H. 1997; 46 Noormohamed,F.H. 1998; 47 Raffi,F. 1993; 48 Sjovall,J. 1989}}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(141-147)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ganciclovir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246.40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18.75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44.12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RW.CITE{{59 [NoInformation] 2009; 60 Bastien,O. 1994; 61 Combarnous,F. 1994; 62 Lake,K.D. 1988; 63 Sommadossi,J.P. 1988}}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(148-152)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gentamicin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RW.CITE{{349 Al-Homrany,M.A. 2009; 350 Bickley,S.K. 1988; 351 Dager,W.E. 2006; 322 Hospira 2004; 352 Roberts,J.A. 2010; 353 Thomson,A.H. 1991}}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(153-158)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imipenem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2750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52.50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371.45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91.95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128.10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RW.CITE{{240 [NoInformation] 2011; 242 Adamis,G. 2004; 241 Gibson,T.P. 1985; 99 Hashimoto,Satoru 1997; 100 Mueller,B.A. 1993; 243 Tegeder,I. 1997}}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2C0D0C">
              <w:t>(162-167)</w:t>
            </w: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levofloxacin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51.16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59.00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RW.CITE{{361 Czock,D. 2006; 362 Guenter,S.G. 2002; 358 Hansen,E. 2001; 359 Malone,R.S. 2001; 325 Ortho-McNeilPharmaceuticals 2011; 363 Sowinski,K.M. 2003; 360 Traunmuller,F. 2001}}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(172-178)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linezolid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76.60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67.17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RW.CITE{{246 [NoInformation] 2008; 79 Brier,M.E. 2003; 81 Dryden,M.S. 2011; 78 Fiaccadori,E. 2004; 80 Pea,F. 2004; 82 Stalker,D.J. 2003}}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(184-189)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82.387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61.70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RW.CITE{{247 [NoInformation] 2010; 69 Giles,L.J. 2000; 85 Isla,A. 2005; 89 Leroy,A. 1992; 86 Tegeder,I. 1999; 87 Thalhammer,F. 1998}}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(193-198)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256.67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156.60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RW.CITE{{361 Czock,D. 2006; 326 BayerHealthcarePharmaceuticals 2011; 364 Fuhrmann,V. 2004; 365 Ittner,K.P. 2005; 366 Stass,H. 2002}}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(172,217-220)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nafcillin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628.00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439.60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RW.CITE{{262 APPPharmaceuticals 2011; 268 Rudnick,M. 1976}}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(221,222)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oseltamivir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341.10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RW.CITE{{49 [NoInformation] 2011; 50 Ariano,R.E. 2010; 51 Beigi,RichardH. 2011; 53 Dutkowski,R. 2010; 54 He,G. 1999; 55 McNicholl,I.R. 2001}}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(223-228)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piperacillin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16000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183.33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44.025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58.67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RW.CITE{{271 Arzuaga,A. 2005; 270 Bulitta,J.B. 2010; 272 Mueller,S.C. 2002; 269 Thompson,M.I. 1981; 263 WyethPharmaceuticals,Inc. 2008}}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(240-244)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rifampin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198.00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138.00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RW.CITE{{386 Sanofi-AventisU.S.LLC 2010}}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(256)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sulbactam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45.30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231.08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48.11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RW.CITE{{261 Roerig 2009; 266 Meyers,B.R. 1991; 267 Blum,R.A. 1989}}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(46-48)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tazobactam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155.90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31.18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RW.CITE{{263 WyethPharmaceuticals,Inc. 2008; 271 Arzuaga,A. 2005; 272 Mueller,S.C. 2002; 275 Shea,K.M. 2009; 276 Wise,R. 1991}}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(240,242,244,265,266)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telavancin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8.17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14.58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4.67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RW.CITE{{92 [NoInformation] 2009; 255 Duchin,K. 2005; 256 Gotfried,M.H. 2008; 96 Patel,J.H. 2009; 95 Shaw,J.P. 2005; 94 Wong,S.L. 2008}}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(267-272)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tigecycline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275.34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344.17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288.08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RW.CITE{{257 [NoInformation] 2007; 259 Ponticelli,C. 2008; 116 Rello,J. 2005; 258 Troy,S.M. 2003}}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(273-276)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tobramycin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RW.CITE{{374 Aronoff,G.R. 1990; 331 Hospira 2007; 375 Joos,B. 1996; 351 Dager,W.E. 2006}}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(155,277-279)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trimethoprim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2C0D0C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D0C">
              <w:rPr>
                <w:rFonts w:ascii="Calibri" w:eastAsia="Times New Roman" w:hAnsi="Calibri" w:cs="Calibri"/>
                <w:sz w:val="20"/>
                <w:szCs w:val="20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36.00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RW.CITE{{387 KingPharmaceuticals,Inc. 2006}}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(282)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5B0ECC" w:rsidRPr="007357DA" w:rsidTr="0088029E">
        <w:trPr>
          <w:trHeight w:val="1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vancomycin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67.67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26.3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t>11.67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B0ECC" w:rsidRPr="007357DA" w:rsidRDefault="005B0ECC" w:rsidP="0088029E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begin"/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instrText>ADDIN RW.CITE{{280 Boereboom,F.T. 1999; 279 Kielstein,J.T. 2006; 278 Macias,W.L. 1991; 277 Tan,C.C. 1990; 273 ViroPharmaIncorporated 2005}}</w:instrTex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7357DA">
              <w:t>(283-287)</w:t>
            </w:r>
            <w:r w:rsidRPr="007357D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</w:tbl>
    <w:p w:rsidR="00AA14F6" w:rsidRDefault="005B0ECC">
      <w:bookmarkStart w:id="0" w:name="_GoBack"/>
      <w:bookmarkEnd w:id="0"/>
    </w:p>
    <w:sectPr w:rsidR="00AA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CC"/>
    <w:rsid w:val="005A077F"/>
    <w:rsid w:val="005B0ECC"/>
    <w:rsid w:val="009A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College of Pharmacy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2014-08-03T19:22:00Z</dcterms:created>
  <dcterms:modified xsi:type="dcterms:W3CDTF">2014-08-03T19:22:00Z</dcterms:modified>
</cp:coreProperties>
</file>