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941" w:rsidRPr="002C1941" w:rsidRDefault="002C1941" w:rsidP="002C1941">
      <w:pPr>
        <w:pStyle w:val="BATitle"/>
        <w:spacing w:before="0" w:line="240" w:lineRule="auto"/>
        <w:rPr>
          <w:sz w:val="32"/>
        </w:rPr>
      </w:pPr>
      <w:bookmarkStart w:id="0" w:name="_GoBack"/>
      <w:r w:rsidRPr="002C1941">
        <w:rPr>
          <w:sz w:val="32"/>
        </w:rPr>
        <w:t>Supplemental Material</w:t>
      </w:r>
    </w:p>
    <w:bookmarkEnd w:id="0"/>
    <w:p w:rsidR="002C1941" w:rsidRPr="0045152F" w:rsidRDefault="002C1941" w:rsidP="002C1941">
      <w:pPr>
        <w:pStyle w:val="BATitle"/>
        <w:spacing w:before="0" w:line="240" w:lineRule="auto"/>
        <w:jc w:val="left"/>
        <w:rPr>
          <w:sz w:val="40"/>
        </w:rPr>
      </w:pPr>
      <w:r w:rsidRPr="0045152F">
        <w:rPr>
          <w:sz w:val="40"/>
        </w:rPr>
        <w:t>Labeling stem cells with a new hybrid bismuth/carbon nanotube contrast agent for X-ray imaging and tracking</w:t>
      </w:r>
    </w:p>
    <w:p w:rsidR="002C1941" w:rsidRDefault="002C1941" w:rsidP="002C1941">
      <w:pPr>
        <w:pStyle w:val="BCAuthorAddress"/>
        <w:spacing w:line="360" w:lineRule="auto"/>
        <w:jc w:val="left"/>
        <w:rPr>
          <w:i/>
        </w:rPr>
      </w:pPr>
      <w:r w:rsidRPr="00024D12">
        <w:rPr>
          <w:i/>
        </w:rPr>
        <w:t>Mayra Hernández-</w:t>
      </w:r>
      <w:proofErr w:type="spellStart"/>
      <w:r w:rsidRPr="00024D12">
        <w:rPr>
          <w:i/>
        </w:rPr>
        <w:t>Rivera</w:t>
      </w:r>
      <w:r w:rsidRPr="00024D12">
        <w:rPr>
          <w:i/>
          <w:vertAlign w:val="superscript"/>
        </w:rPr>
        <w:t>a</w:t>
      </w:r>
      <w:proofErr w:type="spellEnd"/>
      <w:r w:rsidRPr="00024D12">
        <w:rPr>
          <w:i/>
        </w:rPr>
        <w:t xml:space="preserve">, Stephen Y. </w:t>
      </w:r>
      <w:proofErr w:type="spellStart"/>
      <w:r w:rsidRPr="00024D12">
        <w:rPr>
          <w:i/>
        </w:rPr>
        <w:t>Cho</w:t>
      </w:r>
      <w:r w:rsidRPr="00024D12">
        <w:rPr>
          <w:i/>
          <w:vertAlign w:val="superscript"/>
        </w:rPr>
        <w:t>a</w:t>
      </w:r>
      <w:proofErr w:type="spellEnd"/>
      <w:r w:rsidRPr="00024D12">
        <w:rPr>
          <w:i/>
        </w:rPr>
        <w:t xml:space="preserve">, Sakineh E. </w:t>
      </w:r>
      <w:proofErr w:type="spellStart"/>
      <w:r w:rsidRPr="00024D12">
        <w:rPr>
          <w:i/>
        </w:rPr>
        <w:t>Moghaddam</w:t>
      </w:r>
      <w:r w:rsidRPr="00024D12">
        <w:rPr>
          <w:i/>
          <w:vertAlign w:val="superscript"/>
        </w:rPr>
        <w:t>a</w:t>
      </w:r>
      <w:proofErr w:type="spellEnd"/>
      <w:r w:rsidRPr="00024D12">
        <w:rPr>
          <w:i/>
        </w:rPr>
        <w:t xml:space="preserve">, Benjamin Y. </w:t>
      </w:r>
      <w:proofErr w:type="spellStart"/>
      <w:r w:rsidRPr="00024D12">
        <w:rPr>
          <w:i/>
        </w:rPr>
        <w:t>Ch</w:t>
      </w:r>
      <w:r>
        <w:rPr>
          <w:i/>
        </w:rPr>
        <w:t>e</w:t>
      </w:r>
      <w:r w:rsidRPr="00024D12">
        <w:rPr>
          <w:i/>
        </w:rPr>
        <w:t>ong</w:t>
      </w:r>
      <w:r w:rsidRPr="00024D12">
        <w:rPr>
          <w:i/>
          <w:vertAlign w:val="superscript"/>
        </w:rPr>
        <w:t>b</w:t>
      </w:r>
      <w:proofErr w:type="spellEnd"/>
      <w:r w:rsidRPr="00024D12">
        <w:rPr>
          <w:i/>
        </w:rPr>
        <w:t xml:space="preserve">, Maria da </w:t>
      </w:r>
      <w:proofErr w:type="spellStart"/>
      <w:r w:rsidRPr="00024D12">
        <w:rPr>
          <w:i/>
        </w:rPr>
        <w:t>Graça</w:t>
      </w:r>
      <w:proofErr w:type="spellEnd"/>
      <w:r w:rsidRPr="00024D12">
        <w:rPr>
          <w:i/>
        </w:rPr>
        <w:t xml:space="preserve"> </w:t>
      </w:r>
      <w:proofErr w:type="spellStart"/>
      <w:r w:rsidRPr="00024D12">
        <w:rPr>
          <w:i/>
        </w:rPr>
        <w:t>Cabreira-</w:t>
      </w:r>
      <w:proofErr w:type="gramStart"/>
      <w:r w:rsidRPr="00024D12">
        <w:rPr>
          <w:i/>
        </w:rPr>
        <w:t>Hansen</w:t>
      </w:r>
      <w:r w:rsidRPr="00024D12">
        <w:rPr>
          <w:i/>
          <w:vertAlign w:val="superscript"/>
        </w:rPr>
        <w:t>b,c</w:t>
      </w:r>
      <w:proofErr w:type="spellEnd"/>
      <w:proofErr w:type="gramEnd"/>
      <w:r w:rsidRPr="00024D12">
        <w:rPr>
          <w:i/>
        </w:rPr>
        <w:t xml:space="preserve">, James T. </w:t>
      </w:r>
      <w:proofErr w:type="spellStart"/>
      <w:r w:rsidRPr="00024D12">
        <w:rPr>
          <w:i/>
        </w:rPr>
        <w:t>Willerson</w:t>
      </w:r>
      <w:r w:rsidRPr="00024D12">
        <w:rPr>
          <w:i/>
          <w:vertAlign w:val="superscript"/>
        </w:rPr>
        <w:t>b,c</w:t>
      </w:r>
      <w:proofErr w:type="spellEnd"/>
      <w:r w:rsidRPr="00024D12">
        <w:rPr>
          <w:i/>
        </w:rPr>
        <w:t xml:space="preserve">, Emerson C. </w:t>
      </w:r>
      <w:proofErr w:type="spellStart"/>
      <w:r w:rsidRPr="00024D12">
        <w:rPr>
          <w:i/>
        </w:rPr>
        <w:t>Perin</w:t>
      </w:r>
      <w:r w:rsidRPr="00024D12">
        <w:rPr>
          <w:i/>
          <w:vertAlign w:val="superscript"/>
        </w:rPr>
        <w:t>b,c</w:t>
      </w:r>
      <w:proofErr w:type="spellEnd"/>
      <w:r w:rsidRPr="00024D12">
        <w:rPr>
          <w:i/>
        </w:rPr>
        <w:t xml:space="preserve">, and Lon J. </w:t>
      </w:r>
      <w:proofErr w:type="spellStart"/>
      <w:r w:rsidRPr="00024D12">
        <w:rPr>
          <w:i/>
        </w:rPr>
        <w:t>Wilson</w:t>
      </w:r>
      <w:r w:rsidRPr="00024D12">
        <w:rPr>
          <w:i/>
          <w:vertAlign w:val="superscript"/>
        </w:rPr>
        <w:t>a</w:t>
      </w:r>
      <w:proofErr w:type="spellEnd"/>
      <w:r w:rsidRPr="00024D12">
        <w:rPr>
          <w:i/>
        </w:rPr>
        <w:t>*</w:t>
      </w:r>
    </w:p>
    <w:p w:rsidR="002C1941" w:rsidRDefault="002C1941" w:rsidP="002C1941">
      <w:pPr>
        <w:pStyle w:val="FACorrespondingAuthorFootnote"/>
        <w:spacing w:after="0" w:line="360" w:lineRule="auto"/>
        <w:jc w:val="left"/>
      </w:pPr>
      <w:proofErr w:type="spellStart"/>
      <w:r w:rsidRPr="00024D12">
        <w:rPr>
          <w:vertAlign w:val="superscript"/>
        </w:rPr>
        <w:t>a</w:t>
      </w:r>
      <w:r>
        <w:t>Department</w:t>
      </w:r>
      <w:proofErr w:type="spellEnd"/>
      <w:r>
        <w:t xml:space="preserve"> of Chemistry MS-60, Rice University, P.O. Box 1892, Houston, TX, 77251</w:t>
      </w:r>
    </w:p>
    <w:p w:rsidR="002C1941" w:rsidRDefault="002C1941" w:rsidP="002C1941">
      <w:pPr>
        <w:pStyle w:val="FACorrespondingAuthorFootnote"/>
        <w:spacing w:after="0" w:line="360" w:lineRule="auto"/>
        <w:jc w:val="left"/>
      </w:pPr>
      <w:proofErr w:type="spellStart"/>
      <w:r w:rsidRPr="00024D12">
        <w:rPr>
          <w:vertAlign w:val="superscript"/>
        </w:rPr>
        <w:t>b</w:t>
      </w:r>
      <w:r>
        <w:t>CHI</w:t>
      </w:r>
      <w:proofErr w:type="spellEnd"/>
      <w:r>
        <w:t xml:space="preserve"> St. Luke’s Health - Baylor St. Luke’s Medical Center, 6720 </w:t>
      </w:r>
      <w:proofErr w:type="spellStart"/>
      <w:r>
        <w:t>Bertner</w:t>
      </w:r>
      <w:proofErr w:type="spellEnd"/>
      <w:r>
        <w:t xml:space="preserve"> Ave., MC 2-270 Houston, TX 77030</w:t>
      </w:r>
    </w:p>
    <w:p w:rsidR="002C1941" w:rsidRDefault="002C1941" w:rsidP="002C1941">
      <w:pPr>
        <w:pStyle w:val="FACorrespondingAuthorFootnote"/>
        <w:spacing w:after="0" w:line="360" w:lineRule="auto"/>
        <w:jc w:val="left"/>
      </w:pPr>
      <w:proofErr w:type="spellStart"/>
      <w:r w:rsidRPr="00024D12">
        <w:rPr>
          <w:vertAlign w:val="superscript"/>
        </w:rPr>
        <w:t>c</w:t>
      </w:r>
      <w:r>
        <w:t>Texas</w:t>
      </w:r>
      <w:proofErr w:type="spellEnd"/>
      <w:r>
        <w:t xml:space="preserve"> Heart Institute, 6770 </w:t>
      </w:r>
      <w:proofErr w:type="spellStart"/>
      <w:r>
        <w:t>Bertner</w:t>
      </w:r>
      <w:proofErr w:type="spellEnd"/>
      <w:r>
        <w:t xml:space="preserve"> Ave C350, Houston, TX 77030</w:t>
      </w:r>
    </w:p>
    <w:p w:rsidR="002C1941" w:rsidRDefault="002C1941" w:rsidP="002C1941">
      <w:pPr>
        <w:pStyle w:val="TAMainText"/>
        <w:spacing w:line="360" w:lineRule="auto"/>
        <w:ind w:firstLine="0"/>
      </w:pPr>
      <w:r>
        <w:t xml:space="preserve">*Corresponding author: </w:t>
      </w:r>
    </w:p>
    <w:p w:rsidR="002C1941" w:rsidRDefault="002C1941" w:rsidP="002C1941">
      <w:pPr>
        <w:pStyle w:val="TAMainText"/>
        <w:spacing w:line="360" w:lineRule="auto"/>
        <w:ind w:firstLine="0"/>
      </w:pPr>
      <w:r>
        <w:t>Lon J. Wilson</w:t>
      </w:r>
    </w:p>
    <w:p w:rsidR="002C1941" w:rsidRDefault="002C1941" w:rsidP="002C1941">
      <w:pPr>
        <w:pStyle w:val="TAMainText"/>
        <w:spacing w:line="360" w:lineRule="auto"/>
        <w:ind w:firstLine="0"/>
      </w:pPr>
      <w:r>
        <w:t>durango@rice.edu</w:t>
      </w:r>
    </w:p>
    <w:p w:rsidR="002C1941" w:rsidRDefault="002C1941" w:rsidP="002C1941">
      <w:pPr>
        <w:pStyle w:val="TAMainText"/>
        <w:spacing w:line="360" w:lineRule="auto"/>
        <w:ind w:firstLine="0"/>
      </w:pPr>
      <w:r>
        <w:t>Department of Chemistry MS-60, Rice University, P.O. Box 1892, Houston, TX, 77251</w:t>
      </w:r>
    </w:p>
    <w:p w:rsidR="008E0772" w:rsidRDefault="008E0772" w:rsidP="001B5997">
      <w:pPr>
        <w:rPr>
          <w:rFonts w:ascii="Times New Roman" w:hAnsi="Times New Roman" w:cs="Times New Roman"/>
        </w:rPr>
      </w:pPr>
    </w:p>
    <w:p w:rsidR="00D16344" w:rsidRDefault="00D16344" w:rsidP="001B5997">
      <w:pPr>
        <w:rPr>
          <w:rFonts w:ascii="Times New Roman" w:hAnsi="Times New Roman" w:cs="Times New Roman"/>
        </w:rPr>
      </w:pPr>
    </w:p>
    <w:p w:rsidR="00D16344" w:rsidRDefault="00D16344" w:rsidP="001B5997">
      <w:pPr>
        <w:rPr>
          <w:rFonts w:ascii="Times New Roman" w:hAnsi="Times New Roman" w:cs="Times New Roman"/>
        </w:rPr>
      </w:pPr>
    </w:p>
    <w:p w:rsidR="00D16344" w:rsidRDefault="00D16344" w:rsidP="001B5997">
      <w:pPr>
        <w:rPr>
          <w:rFonts w:ascii="Times New Roman" w:hAnsi="Times New Roman" w:cs="Times New Roman"/>
        </w:rPr>
      </w:pPr>
    </w:p>
    <w:p w:rsidR="00340CF2" w:rsidRDefault="00340CF2" w:rsidP="001B5997">
      <w:pPr>
        <w:rPr>
          <w:rFonts w:ascii="Times New Roman" w:hAnsi="Times New Roman" w:cs="Times New Roman"/>
        </w:rPr>
      </w:pPr>
    </w:p>
    <w:p w:rsidR="00340CF2" w:rsidRDefault="00340CF2" w:rsidP="00340CF2">
      <w:pPr>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rPr>
        <w:drawing>
          <wp:inline distT="0" distB="0" distL="0" distR="0" wp14:anchorId="4EC6F0FE">
            <wp:extent cx="3171464" cy="14262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4786" cy="1432240"/>
                    </a:xfrm>
                    <a:prstGeom prst="rect">
                      <a:avLst/>
                    </a:prstGeom>
                    <a:noFill/>
                  </pic:spPr>
                </pic:pic>
              </a:graphicData>
            </a:graphic>
          </wp:inline>
        </w:drawing>
      </w:r>
    </w:p>
    <w:p w:rsidR="001B5997" w:rsidRPr="008E0772" w:rsidRDefault="008E0772" w:rsidP="00D16344">
      <w:pPr>
        <w:spacing w:line="480" w:lineRule="auto"/>
        <w:rPr>
          <w:rFonts w:ascii="Times New Roman" w:hAnsi="Times New Roman" w:cs="Times New Roman"/>
        </w:rPr>
      </w:pPr>
      <w:r>
        <w:rPr>
          <w:rFonts w:ascii="Times New Roman" w:hAnsi="Times New Roman" w:cs="Times New Roman"/>
          <w:b/>
        </w:rPr>
        <w:t xml:space="preserve">Figure S1: </w:t>
      </w:r>
      <w:r>
        <w:rPr>
          <w:rFonts w:ascii="Times New Roman" w:hAnsi="Times New Roman" w:cs="Times New Roman"/>
        </w:rPr>
        <w:t>Representation of the filtration-challenge process performed in the cell labeling solution (Bi</w:t>
      </w:r>
      <w:r>
        <w:rPr>
          <w:rFonts w:ascii="Times New Roman" w:hAnsi="Times New Roman" w:cs="Times New Roman"/>
          <w:vertAlign w:val="subscript"/>
        </w:rPr>
        <w:t>4</w:t>
      </w:r>
      <w:r>
        <w:rPr>
          <w:rFonts w:ascii="Times New Roman" w:hAnsi="Times New Roman" w:cs="Times New Roman"/>
        </w:rPr>
        <w:t>C@US-tubes suspended in Pluronic</w:t>
      </w:r>
      <w:r>
        <w:rPr>
          <w:rFonts w:ascii="Times New Roman" w:hAnsi="Times New Roman" w:cs="Times New Roman"/>
          <w:vertAlign w:val="superscript"/>
        </w:rPr>
        <w:t>®</w:t>
      </w:r>
      <w:r>
        <w:rPr>
          <w:rFonts w:ascii="Times New Roman" w:hAnsi="Times New Roman" w:cs="Times New Roman"/>
        </w:rPr>
        <w:t xml:space="preserve">). </w:t>
      </w:r>
    </w:p>
    <w:p w:rsidR="008E0772" w:rsidRDefault="008E0772" w:rsidP="005C75C1">
      <w:pPr>
        <w:ind w:firstLine="720"/>
        <w:jc w:val="both"/>
        <w:rPr>
          <w:rFonts w:ascii="Times New Roman" w:hAnsi="Times New Roman" w:cs="Times New Roman"/>
        </w:rPr>
      </w:pPr>
    </w:p>
    <w:p w:rsidR="001B5997" w:rsidRDefault="001B5997" w:rsidP="001B5997">
      <w:pPr>
        <w:jc w:val="center"/>
      </w:pPr>
    </w:p>
    <w:p w:rsidR="005C75C1" w:rsidRDefault="00771256" w:rsidP="002A55BC">
      <w:pPr>
        <w:rPr>
          <w:rFonts w:ascii="Arial" w:hAnsi="Arial" w:cs="Arial"/>
          <w:color w:val="585858"/>
          <w:sz w:val="26"/>
          <w:szCs w:val="26"/>
          <w:shd w:val="clear" w:color="auto" w:fill="FFFFFF"/>
        </w:rPr>
      </w:pPr>
      <w:r>
        <w:rPr>
          <w:rFonts w:ascii="Arial" w:hAnsi="Arial" w:cs="Arial"/>
          <w:noProof/>
          <w:color w:val="585858"/>
          <w:sz w:val="26"/>
          <w:szCs w:val="26"/>
          <w:shd w:val="clear" w:color="auto" w:fill="FFFFFF"/>
        </w:rPr>
        <w:lastRenderedPageBreak/>
        <w:drawing>
          <wp:inline distT="0" distB="0" distL="0" distR="0" wp14:anchorId="3784985A">
            <wp:extent cx="6075976" cy="49939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0382" cy="4997591"/>
                    </a:xfrm>
                    <a:prstGeom prst="rect">
                      <a:avLst/>
                    </a:prstGeom>
                    <a:noFill/>
                  </pic:spPr>
                </pic:pic>
              </a:graphicData>
            </a:graphic>
          </wp:inline>
        </w:drawing>
      </w:r>
    </w:p>
    <w:p w:rsidR="00D16344" w:rsidRDefault="00D16344" w:rsidP="00D16344">
      <w:pPr>
        <w:spacing w:line="480" w:lineRule="auto"/>
        <w:ind w:firstLine="720"/>
        <w:jc w:val="both"/>
        <w:rPr>
          <w:rFonts w:ascii="Times New Roman" w:hAnsi="Times New Roman" w:cs="Times New Roman"/>
          <w:b/>
        </w:rPr>
      </w:pPr>
    </w:p>
    <w:p w:rsidR="002A55BC" w:rsidRDefault="002A55BC" w:rsidP="00D16344">
      <w:pPr>
        <w:spacing w:line="480" w:lineRule="auto"/>
        <w:ind w:firstLine="720"/>
        <w:jc w:val="both"/>
        <w:rPr>
          <w:rFonts w:ascii="Times New Roman" w:hAnsi="Times New Roman" w:cs="Times New Roman"/>
        </w:rPr>
      </w:pPr>
      <w:r w:rsidRPr="002A55BC">
        <w:rPr>
          <w:rFonts w:ascii="Times New Roman" w:hAnsi="Times New Roman" w:cs="Times New Roman"/>
          <w:b/>
        </w:rPr>
        <w:t>Figure S</w:t>
      </w:r>
      <w:r w:rsidR="007F677A">
        <w:rPr>
          <w:rFonts w:ascii="Times New Roman" w:hAnsi="Times New Roman" w:cs="Times New Roman"/>
          <w:b/>
        </w:rPr>
        <w:t>2</w:t>
      </w:r>
      <w:r w:rsidRPr="002A55BC">
        <w:rPr>
          <w:rFonts w:ascii="Times New Roman" w:hAnsi="Times New Roman" w:cs="Times New Roman"/>
          <w:b/>
        </w:rPr>
        <w:t>:</w:t>
      </w:r>
      <w:r>
        <w:rPr>
          <w:rFonts w:ascii="Times New Roman" w:hAnsi="Times New Roman" w:cs="Times New Roman"/>
        </w:rPr>
        <w:t xml:space="preserve"> Data obtained by </w:t>
      </w:r>
      <w:r w:rsidR="00145BF0">
        <w:rPr>
          <w:rFonts w:ascii="Times New Roman" w:hAnsi="Times New Roman" w:cs="Times New Roman"/>
        </w:rPr>
        <w:t>fluorescenc</w:t>
      </w:r>
      <w:r w:rsidR="00771256">
        <w:rPr>
          <w:rFonts w:ascii="Times New Roman" w:hAnsi="Times New Roman" w:cs="Times New Roman"/>
        </w:rPr>
        <w:t>e</w:t>
      </w:r>
      <w:r w:rsidR="00145BF0">
        <w:rPr>
          <w:rFonts w:ascii="Times New Roman" w:hAnsi="Times New Roman" w:cs="Times New Roman"/>
        </w:rPr>
        <w:t>-activated cell sorting (FACS)</w:t>
      </w:r>
      <w:r>
        <w:rPr>
          <w:rFonts w:ascii="Times New Roman" w:hAnsi="Times New Roman" w:cs="Times New Roman"/>
        </w:rPr>
        <w:t xml:space="preserve"> of unlabeled cell</w:t>
      </w:r>
      <w:r w:rsidR="00D60453">
        <w:rPr>
          <w:rFonts w:ascii="Times New Roman" w:hAnsi="Times New Roman" w:cs="Times New Roman"/>
        </w:rPr>
        <w:t>s with not dyes (unstained MSCs</w:t>
      </w:r>
      <w:r>
        <w:rPr>
          <w:rFonts w:ascii="Times New Roman" w:hAnsi="Times New Roman" w:cs="Times New Roman"/>
        </w:rPr>
        <w:t>), positive co</w:t>
      </w:r>
      <w:r w:rsidR="00D60453">
        <w:rPr>
          <w:rFonts w:ascii="Times New Roman" w:hAnsi="Times New Roman" w:cs="Times New Roman"/>
        </w:rPr>
        <w:t>ntrol cells (unlabeled live MSC</w:t>
      </w:r>
      <w:r>
        <w:rPr>
          <w:rFonts w:ascii="Times New Roman" w:hAnsi="Times New Roman" w:cs="Times New Roman"/>
        </w:rPr>
        <w:t>s), negative co</w:t>
      </w:r>
      <w:r w:rsidR="00D60453">
        <w:rPr>
          <w:rFonts w:ascii="Times New Roman" w:hAnsi="Times New Roman" w:cs="Times New Roman"/>
        </w:rPr>
        <w:t>ntrol cells (unlabeled dead MSC</w:t>
      </w:r>
      <w:r>
        <w:rPr>
          <w:rFonts w:ascii="Times New Roman" w:hAnsi="Times New Roman" w:cs="Times New Roman"/>
        </w:rPr>
        <w:t>s), and Bi</w:t>
      </w:r>
      <w:r>
        <w:rPr>
          <w:rFonts w:ascii="Times New Roman" w:hAnsi="Times New Roman" w:cs="Times New Roman"/>
          <w:vertAlign w:val="subscript"/>
        </w:rPr>
        <w:t>4</w:t>
      </w:r>
      <w:r>
        <w:rPr>
          <w:rFonts w:ascii="Times New Roman" w:hAnsi="Times New Roman" w:cs="Times New Roman"/>
        </w:rPr>
        <w:t>@US-tubes-labeled MSCs (300 µM Bi</w:t>
      </w:r>
      <w:r>
        <w:rPr>
          <w:rFonts w:ascii="Times New Roman" w:hAnsi="Times New Roman" w:cs="Times New Roman"/>
          <w:vertAlign w:val="superscript"/>
        </w:rPr>
        <w:t>3+</w:t>
      </w:r>
      <w:r>
        <w:rPr>
          <w:rFonts w:ascii="Times New Roman" w:hAnsi="Times New Roman" w:cs="Times New Roman"/>
        </w:rPr>
        <w:t xml:space="preserve">). </w:t>
      </w:r>
      <w:r w:rsidR="00D16344">
        <w:rPr>
          <w:rFonts w:ascii="Times New Roman" w:hAnsi="Times New Roman" w:cs="Times New Roman"/>
        </w:rPr>
        <w:t xml:space="preserve">Representation of the gating for the FACS data, meaning, the selection of the regions of interest that determines which population is being analyzed. Since samples contain just one type of cell (MSC), the gating is excluding non-vial cells (debris) or big agglomerates of cells, thus the analyzed cells are viable, single cells.  </w:t>
      </w:r>
      <w:r w:rsidR="00D60453">
        <w:rPr>
          <w:rFonts w:ascii="Times New Roman" w:hAnsi="Times New Roman" w:cs="Times New Roman"/>
        </w:rPr>
        <w:t>(A) Gating of the single cells, (B) gating for the viable cells, and (C)</w:t>
      </w:r>
      <w:r>
        <w:rPr>
          <w:rFonts w:ascii="Times New Roman" w:hAnsi="Times New Roman" w:cs="Times New Roman"/>
        </w:rPr>
        <w:t xml:space="preserve"> </w:t>
      </w:r>
      <w:r w:rsidR="00D60453">
        <w:rPr>
          <w:rFonts w:ascii="Times New Roman" w:hAnsi="Times New Roman" w:cs="Times New Roman"/>
        </w:rPr>
        <w:t>d</w:t>
      </w:r>
      <w:r>
        <w:rPr>
          <w:rFonts w:ascii="Times New Roman" w:hAnsi="Times New Roman" w:cs="Times New Roman"/>
        </w:rPr>
        <w:t xml:space="preserve">iagram of the side-scattered light (SSC) and Allophycocyanin (ACP-A) of the viable </w:t>
      </w:r>
      <w:proofErr w:type="gramStart"/>
      <w:r>
        <w:rPr>
          <w:rFonts w:ascii="Times New Roman" w:hAnsi="Times New Roman" w:cs="Times New Roman"/>
        </w:rPr>
        <w:t>cell</w:t>
      </w:r>
      <w:r w:rsidR="00771256">
        <w:rPr>
          <w:rFonts w:ascii="Times New Roman" w:hAnsi="Times New Roman" w:cs="Times New Roman"/>
        </w:rPr>
        <w:t>s</w:t>
      </w:r>
      <w:proofErr w:type="gramEnd"/>
      <w:r>
        <w:rPr>
          <w:rFonts w:ascii="Times New Roman" w:hAnsi="Times New Roman" w:cs="Times New Roman"/>
        </w:rPr>
        <w:t xml:space="preserve"> population. </w:t>
      </w:r>
      <w:r w:rsidR="00145BF0">
        <w:rPr>
          <w:rFonts w:ascii="Times New Roman" w:hAnsi="Times New Roman" w:cs="Times New Roman"/>
        </w:rPr>
        <w:t xml:space="preserve"> </w:t>
      </w:r>
    </w:p>
    <w:p w:rsidR="00F3659D" w:rsidRDefault="00F3659D" w:rsidP="00D60453">
      <w:pPr>
        <w:jc w:val="both"/>
        <w:rPr>
          <w:rFonts w:ascii="Times New Roman" w:hAnsi="Times New Roman" w:cs="Times New Roman"/>
        </w:rPr>
      </w:pPr>
    </w:p>
    <w:p w:rsidR="00F3659D" w:rsidRDefault="00F3659D" w:rsidP="00D60453">
      <w:pPr>
        <w:jc w:val="both"/>
        <w:rPr>
          <w:rFonts w:ascii="Times New Roman" w:hAnsi="Times New Roman" w:cs="Times New Roman"/>
        </w:rPr>
      </w:pPr>
    </w:p>
    <w:p w:rsidR="00D16344" w:rsidRPr="006519EC" w:rsidRDefault="00D16344" w:rsidP="00D16344">
      <w:pPr>
        <w:rPr>
          <w:rFonts w:ascii="Times New Roman" w:hAnsi="Times New Roman" w:cs="Times New Roman"/>
        </w:rPr>
      </w:pPr>
    </w:p>
    <w:p w:rsidR="00D16344" w:rsidRDefault="00D16344" w:rsidP="00D60453">
      <w:pPr>
        <w:jc w:val="both"/>
        <w:rPr>
          <w:rFonts w:ascii="Times New Roman" w:hAnsi="Times New Roman" w:cs="Times New Roman"/>
        </w:rPr>
      </w:pPr>
    </w:p>
    <w:tbl>
      <w:tblPr>
        <w:tblStyle w:val="ListTable3"/>
        <w:tblpPr w:leftFromText="180" w:rightFromText="180" w:vertAnchor="page" w:horzAnchor="margin" w:tblpXSpec="center" w:tblpY="1158"/>
        <w:tblW w:w="5485" w:type="dxa"/>
        <w:tblLook w:val="0420" w:firstRow="1" w:lastRow="0" w:firstColumn="0" w:lastColumn="0" w:noHBand="0" w:noVBand="1"/>
      </w:tblPr>
      <w:tblGrid>
        <w:gridCol w:w="2785"/>
        <w:gridCol w:w="2700"/>
      </w:tblGrid>
      <w:tr w:rsidR="00F3659D" w:rsidRPr="00F3659D" w:rsidTr="00F3659D">
        <w:trPr>
          <w:cnfStyle w:val="100000000000" w:firstRow="1" w:lastRow="0" w:firstColumn="0" w:lastColumn="0" w:oddVBand="0" w:evenVBand="0" w:oddHBand="0" w:evenHBand="0" w:firstRowFirstColumn="0" w:firstRowLastColumn="0" w:lastRowFirstColumn="0" w:lastRowLastColumn="0"/>
          <w:trHeight w:val="264"/>
        </w:trPr>
        <w:tc>
          <w:tcPr>
            <w:tcW w:w="2785" w:type="dxa"/>
            <w:hideMark/>
          </w:tcPr>
          <w:p w:rsidR="00F3659D" w:rsidRPr="00E01BBF" w:rsidRDefault="00F3659D" w:rsidP="00E01BBF">
            <w:pPr>
              <w:spacing w:line="360" w:lineRule="auto"/>
              <w:jc w:val="center"/>
              <w:rPr>
                <w:rFonts w:cs="Times New Roman"/>
              </w:rPr>
            </w:pPr>
            <w:r w:rsidRPr="00E01BBF">
              <w:rPr>
                <w:rFonts w:cs="Times New Roman"/>
              </w:rPr>
              <w:t>Suspension</w:t>
            </w:r>
          </w:p>
        </w:tc>
        <w:tc>
          <w:tcPr>
            <w:tcW w:w="2700" w:type="dxa"/>
            <w:hideMark/>
          </w:tcPr>
          <w:p w:rsidR="00F3659D" w:rsidRPr="00E01BBF" w:rsidRDefault="00F3659D" w:rsidP="00E01BBF">
            <w:pPr>
              <w:spacing w:line="360" w:lineRule="auto"/>
              <w:jc w:val="center"/>
              <w:rPr>
                <w:rFonts w:cs="Times New Roman"/>
              </w:rPr>
            </w:pPr>
            <w:r w:rsidRPr="00E01BBF">
              <w:rPr>
                <w:rFonts w:cs="Times New Roman"/>
              </w:rPr>
              <w:t>Zeta Potential (mV)</w:t>
            </w:r>
          </w:p>
        </w:tc>
      </w:tr>
      <w:tr w:rsidR="00F3659D" w:rsidRPr="00F3659D" w:rsidTr="00E629E6">
        <w:trPr>
          <w:cnfStyle w:val="000000100000" w:firstRow="0" w:lastRow="0" w:firstColumn="0" w:lastColumn="0" w:oddVBand="0" w:evenVBand="0" w:oddHBand="1" w:evenHBand="0" w:firstRowFirstColumn="0" w:firstRowLastColumn="0" w:lastRowFirstColumn="0" w:lastRowLastColumn="0"/>
          <w:trHeight w:val="336"/>
        </w:trPr>
        <w:tc>
          <w:tcPr>
            <w:tcW w:w="2785" w:type="dxa"/>
            <w:hideMark/>
          </w:tcPr>
          <w:p w:rsidR="00E629E6" w:rsidRPr="00E01BBF" w:rsidRDefault="00F3659D" w:rsidP="00E01BBF">
            <w:pPr>
              <w:spacing w:line="360" w:lineRule="auto"/>
              <w:jc w:val="center"/>
              <w:rPr>
                <w:rFonts w:cs="Times New Roman"/>
              </w:rPr>
            </w:pPr>
            <w:r w:rsidRPr="00E01BBF">
              <w:rPr>
                <w:rFonts w:cs="Times New Roman"/>
              </w:rPr>
              <w:t>Pluronic</w:t>
            </w:r>
            <w:r w:rsidRPr="00E01BBF">
              <w:rPr>
                <w:rFonts w:cs="Times New Roman"/>
                <w:vertAlign w:val="superscript"/>
              </w:rPr>
              <w:t>®</w:t>
            </w:r>
            <w:r w:rsidRPr="00E01BBF">
              <w:rPr>
                <w:rFonts w:cs="Times New Roman"/>
              </w:rPr>
              <w:t xml:space="preserve"> 0.17% (w/</w:t>
            </w:r>
            <w:proofErr w:type="gramStart"/>
            <w:r w:rsidRPr="00E01BBF">
              <w:rPr>
                <w:rFonts w:cs="Times New Roman"/>
              </w:rPr>
              <w:t>v)*</w:t>
            </w:r>
            <w:proofErr w:type="gramEnd"/>
          </w:p>
        </w:tc>
        <w:tc>
          <w:tcPr>
            <w:tcW w:w="2700" w:type="dxa"/>
            <w:hideMark/>
          </w:tcPr>
          <w:p w:rsidR="00F3659D" w:rsidRPr="00E01BBF" w:rsidRDefault="00F3659D" w:rsidP="00E01BBF">
            <w:pPr>
              <w:spacing w:line="360" w:lineRule="auto"/>
              <w:jc w:val="center"/>
              <w:rPr>
                <w:rFonts w:cs="Times New Roman"/>
              </w:rPr>
            </w:pPr>
            <w:r w:rsidRPr="00E01BBF">
              <w:rPr>
                <w:rFonts w:cs="Times New Roman"/>
              </w:rPr>
              <w:t>-19.3 ± 3.4</w:t>
            </w:r>
          </w:p>
        </w:tc>
      </w:tr>
      <w:tr w:rsidR="00F3659D" w:rsidRPr="00F3659D" w:rsidTr="00E629E6">
        <w:trPr>
          <w:trHeight w:val="354"/>
        </w:trPr>
        <w:tc>
          <w:tcPr>
            <w:tcW w:w="2785" w:type="dxa"/>
            <w:hideMark/>
          </w:tcPr>
          <w:p w:rsidR="00F3659D" w:rsidRPr="00E01BBF" w:rsidRDefault="00F3659D" w:rsidP="00E01BBF">
            <w:pPr>
              <w:spacing w:line="360" w:lineRule="auto"/>
              <w:jc w:val="center"/>
              <w:rPr>
                <w:rFonts w:cs="Times New Roman"/>
              </w:rPr>
            </w:pPr>
            <w:r w:rsidRPr="00E01BBF">
              <w:rPr>
                <w:rFonts w:cs="Times New Roman"/>
              </w:rPr>
              <w:t>Full length SWCNTs*</w:t>
            </w:r>
          </w:p>
        </w:tc>
        <w:tc>
          <w:tcPr>
            <w:tcW w:w="2700" w:type="dxa"/>
            <w:hideMark/>
          </w:tcPr>
          <w:p w:rsidR="00F3659D" w:rsidRPr="00E01BBF" w:rsidRDefault="00F3659D" w:rsidP="00E01BBF">
            <w:pPr>
              <w:spacing w:line="360" w:lineRule="auto"/>
              <w:jc w:val="center"/>
              <w:rPr>
                <w:rFonts w:cs="Times New Roman"/>
              </w:rPr>
            </w:pPr>
            <w:r w:rsidRPr="00E01BBF">
              <w:rPr>
                <w:rFonts w:cs="Times New Roman"/>
              </w:rPr>
              <w:t>-27.0 ± 1.7</w:t>
            </w:r>
          </w:p>
        </w:tc>
      </w:tr>
      <w:tr w:rsidR="00F3659D" w:rsidRPr="00F3659D" w:rsidTr="00E629E6">
        <w:trPr>
          <w:cnfStyle w:val="000000100000" w:firstRow="0" w:lastRow="0" w:firstColumn="0" w:lastColumn="0" w:oddVBand="0" w:evenVBand="0" w:oddHBand="1" w:evenHBand="0" w:firstRowFirstColumn="0" w:firstRowLastColumn="0" w:lastRowFirstColumn="0" w:lastRowLastColumn="0"/>
          <w:trHeight w:val="345"/>
        </w:trPr>
        <w:tc>
          <w:tcPr>
            <w:tcW w:w="2785" w:type="dxa"/>
            <w:hideMark/>
          </w:tcPr>
          <w:p w:rsidR="00F3659D" w:rsidRPr="00E01BBF" w:rsidRDefault="00F3659D" w:rsidP="00E01BBF">
            <w:pPr>
              <w:spacing w:line="360" w:lineRule="auto"/>
              <w:jc w:val="center"/>
              <w:rPr>
                <w:rFonts w:cs="Times New Roman"/>
              </w:rPr>
            </w:pPr>
            <w:r w:rsidRPr="00E01BBF">
              <w:rPr>
                <w:rFonts w:cs="Times New Roman"/>
              </w:rPr>
              <w:t>US-tubes*</w:t>
            </w:r>
          </w:p>
        </w:tc>
        <w:tc>
          <w:tcPr>
            <w:tcW w:w="2700" w:type="dxa"/>
            <w:hideMark/>
          </w:tcPr>
          <w:p w:rsidR="00F3659D" w:rsidRPr="00E01BBF" w:rsidRDefault="00F3659D" w:rsidP="00E01BBF">
            <w:pPr>
              <w:spacing w:line="360" w:lineRule="auto"/>
              <w:jc w:val="center"/>
              <w:rPr>
                <w:rFonts w:cs="Times New Roman"/>
              </w:rPr>
            </w:pPr>
            <w:r w:rsidRPr="00E01BBF">
              <w:rPr>
                <w:rFonts w:cs="Times New Roman"/>
              </w:rPr>
              <w:t>-53.8 ± 1.8</w:t>
            </w:r>
          </w:p>
        </w:tc>
      </w:tr>
      <w:tr w:rsidR="00F3659D" w:rsidRPr="00F3659D" w:rsidTr="00E629E6">
        <w:trPr>
          <w:trHeight w:val="354"/>
        </w:trPr>
        <w:tc>
          <w:tcPr>
            <w:tcW w:w="2785" w:type="dxa"/>
            <w:hideMark/>
          </w:tcPr>
          <w:p w:rsidR="00F3659D" w:rsidRPr="00E01BBF" w:rsidRDefault="00F3659D" w:rsidP="00E01BBF">
            <w:pPr>
              <w:spacing w:line="360" w:lineRule="auto"/>
              <w:jc w:val="center"/>
              <w:rPr>
                <w:rFonts w:cs="Times New Roman"/>
              </w:rPr>
            </w:pPr>
            <w:proofErr w:type="spellStart"/>
            <w:r w:rsidRPr="00E01BBF">
              <w:rPr>
                <w:rFonts w:cs="Times New Roman"/>
              </w:rPr>
              <w:t>Gadonanotubes</w:t>
            </w:r>
            <w:proofErr w:type="spellEnd"/>
            <w:r w:rsidRPr="00E01BBF">
              <w:rPr>
                <w:rFonts w:cs="Times New Roman"/>
              </w:rPr>
              <w:t>*</w:t>
            </w:r>
          </w:p>
        </w:tc>
        <w:tc>
          <w:tcPr>
            <w:tcW w:w="2700" w:type="dxa"/>
            <w:hideMark/>
          </w:tcPr>
          <w:p w:rsidR="00F3659D" w:rsidRPr="00E01BBF" w:rsidRDefault="00F3659D" w:rsidP="00E01BBF">
            <w:pPr>
              <w:spacing w:line="360" w:lineRule="auto"/>
              <w:jc w:val="center"/>
              <w:rPr>
                <w:rFonts w:cs="Times New Roman"/>
              </w:rPr>
            </w:pPr>
            <w:r w:rsidRPr="00E01BBF">
              <w:rPr>
                <w:rFonts w:cs="Times New Roman"/>
              </w:rPr>
              <w:t>-44.3 ± 0.4</w:t>
            </w:r>
          </w:p>
        </w:tc>
      </w:tr>
      <w:tr w:rsidR="00F3659D" w:rsidRPr="00F3659D" w:rsidTr="00E629E6">
        <w:trPr>
          <w:cnfStyle w:val="000000100000" w:firstRow="0" w:lastRow="0" w:firstColumn="0" w:lastColumn="0" w:oddVBand="0" w:evenVBand="0" w:oddHBand="1" w:evenHBand="0" w:firstRowFirstColumn="0" w:firstRowLastColumn="0" w:lastRowFirstColumn="0" w:lastRowLastColumn="0"/>
          <w:trHeight w:val="345"/>
        </w:trPr>
        <w:tc>
          <w:tcPr>
            <w:tcW w:w="2785" w:type="dxa"/>
            <w:hideMark/>
          </w:tcPr>
          <w:p w:rsidR="00F3659D" w:rsidRPr="00E01BBF" w:rsidRDefault="00F3659D" w:rsidP="00E01BBF">
            <w:pPr>
              <w:spacing w:line="360" w:lineRule="auto"/>
              <w:jc w:val="center"/>
              <w:rPr>
                <w:rFonts w:cs="Times New Roman"/>
              </w:rPr>
            </w:pPr>
            <w:r w:rsidRPr="00E01BBF">
              <w:rPr>
                <w:rFonts w:cs="Times New Roman"/>
              </w:rPr>
              <w:t>Bi</w:t>
            </w:r>
            <w:r w:rsidRPr="00E01BBF">
              <w:rPr>
                <w:rFonts w:cs="Times New Roman"/>
                <w:vertAlign w:val="subscript"/>
              </w:rPr>
              <w:t>4</w:t>
            </w:r>
            <w:r w:rsidR="00E629E6" w:rsidRPr="00E01BBF">
              <w:rPr>
                <w:rFonts w:cs="Times New Roman"/>
              </w:rPr>
              <w:t>C</w:t>
            </w:r>
            <w:r w:rsidRPr="00E01BBF">
              <w:rPr>
                <w:rFonts w:cs="Times New Roman"/>
              </w:rPr>
              <w:t>@US-tubes</w:t>
            </w:r>
          </w:p>
        </w:tc>
        <w:tc>
          <w:tcPr>
            <w:tcW w:w="2700" w:type="dxa"/>
            <w:hideMark/>
          </w:tcPr>
          <w:p w:rsidR="00F3659D" w:rsidRPr="00E01BBF" w:rsidRDefault="00E629E6" w:rsidP="00E01BBF">
            <w:pPr>
              <w:spacing w:line="360" w:lineRule="auto"/>
              <w:jc w:val="center"/>
              <w:rPr>
                <w:rFonts w:cs="Times New Roman"/>
              </w:rPr>
            </w:pPr>
            <w:r w:rsidRPr="00E01BBF">
              <w:rPr>
                <w:rFonts w:cs="Times New Roman"/>
              </w:rPr>
              <w:t>-21.6 ± 2.3</w:t>
            </w:r>
          </w:p>
        </w:tc>
      </w:tr>
    </w:tbl>
    <w:p w:rsidR="00F3659D" w:rsidRDefault="00F3659D" w:rsidP="00D60453">
      <w:pPr>
        <w:jc w:val="both"/>
        <w:rPr>
          <w:rFonts w:ascii="Times New Roman" w:hAnsi="Times New Roman" w:cs="Times New Roman"/>
        </w:rPr>
      </w:pPr>
    </w:p>
    <w:p w:rsidR="00145BF0" w:rsidRPr="002A55BC" w:rsidRDefault="00145BF0" w:rsidP="00D60453">
      <w:pPr>
        <w:jc w:val="both"/>
        <w:rPr>
          <w:rFonts w:ascii="Arial" w:hAnsi="Arial" w:cs="Arial"/>
          <w:color w:val="585858"/>
          <w:sz w:val="26"/>
          <w:szCs w:val="26"/>
          <w:shd w:val="clear" w:color="auto" w:fill="FFFFFF"/>
        </w:rPr>
      </w:pPr>
    </w:p>
    <w:p w:rsidR="002A55BC" w:rsidRDefault="002A55BC" w:rsidP="002A55BC">
      <w:pPr>
        <w:rPr>
          <w:rFonts w:ascii="Arial" w:hAnsi="Arial" w:cs="Arial"/>
          <w:b/>
          <w:color w:val="585858"/>
          <w:sz w:val="26"/>
          <w:szCs w:val="26"/>
          <w:shd w:val="clear" w:color="auto" w:fill="FFFFFF"/>
        </w:rPr>
      </w:pPr>
    </w:p>
    <w:p w:rsidR="00F3659D" w:rsidRPr="00D16344" w:rsidRDefault="00F3659D" w:rsidP="00D16344">
      <w:pPr>
        <w:spacing w:line="480" w:lineRule="auto"/>
        <w:rPr>
          <w:rFonts w:ascii="Arial" w:hAnsi="Arial" w:cs="Arial"/>
          <w:b/>
          <w:sz w:val="26"/>
          <w:szCs w:val="26"/>
          <w:shd w:val="clear" w:color="auto" w:fill="FFFFFF"/>
        </w:rPr>
      </w:pPr>
    </w:p>
    <w:p w:rsidR="00F3659D" w:rsidRPr="00D16344" w:rsidRDefault="00F3659D" w:rsidP="00D16344">
      <w:pPr>
        <w:spacing w:line="480" w:lineRule="auto"/>
        <w:rPr>
          <w:rFonts w:ascii="Times New Roman" w:hAnsi="Times New Roman" w:cs="Times New Roman"/>
          <w:szCs w:val="26"/>
          <w:shd w:val="clear" w:color="auto" w:fill="FFFFFF"/>
        </w:rPr>
      </w:pPr>
      <w:r w:rsidRPr="00D16344">
        <w:rPr>
          <w:rFonts w:ascii="Times New Roman" w:hAnsi="Times New Roman" w:cs="Times New Roman"/>
          <w:b/>
          <w:szCs w:val="26"/>
          <w:shd w:val="clear" w:color="auto" w:fill="FFFFFF"/>
        </w:rPr>
        <w:t xml:space="preserve">Table S1: </w:t>
      </w:r>
      <w:r w:rsidRPr="00D16344">
        <w:rPr>
          <w:rFonts w:ascii="Times New Roman" w:hAnsi="Times New Roman" w:cs="Times New Roman"/>
          <w:szCs w:val="26"/>
          <w:shd w:val="clear" w:color="auto" w:fill="FFFFFF"/>
        </w:rPr>
        <w:t>Z-potential values for Pluronic</w:t>
      </w:r>
      <w:r w:rsidRPr="00D16344">
        <w:rPr>
          <w:rFonts w:ascii="Times New Roman" w:hAnsi="Times New Roman" w:cs="Times New Roman"/>
          <w:szCs w:val="26"/>
          <w:shd w:val="clear" w:color="auto" w:fill="FFFFFF"/>
          <w:vertAlign w:val="superscript"/>
        </w:rPr>
        <w:t xml:space="preserve">® </w:t>
      </w:r>
      <w:r w:rsidRPr="00D16344">
        <w:rPr>
          <w:rFonts w:ascii="Times New Roman" w:hAnsi="Times New Roman" w:cs="Times New Roman"/>
          <w:szCs w:val="26"/>
          <w:shd w:val="clear" w:color="auto" w:fill="FFFFFF"/>
        </w:rPr>
        <w:t xml:space="preserve">alone, SWCNTs, US-tubes, </w:t>
      </w:r>
      <w:proofErr w:type="spellStart"/>
      <w:r w:rsidRPr="00D16344">
        <w:rPr>
          <w:rFonts w:ascii="Times New Roman" w:hAnsi="Times New Roman" w:cs="Times New Roman"/>
          <w:szCs w:val="26"/>
          <w:shd w:val="clear" w:color="auto" w:fill="FFFFFF"/>
        </w:rPr>
        <w:t>Gadonanotubes</w:t>
      </w:r>
      <w:proofErr w:type="spellEnd"/>
      <w:r w:rsidRPr="00D16344">
        <w:rPr>
          <w:rFonts w:ascii="Times New Roman" w:hAnsi="Times New Roman" w:cs="Times New Roman"/>
          <w:szCs w:val="26"/>
          <w:shd w:val="clear" w:color="auto" w:fill="FFFFFF"/>
        </w:rPr>
        <w:t xml:space="preserve"> and Bi</w:t>
      </w:r>
      <w:r w:rsidRPr="00D16344">
        <w:rPr>
          <w:rFonts w:ascii="Times New Roman" w:hAnsi="Times New Roman" w:cs="Times New Roman"/>
          <w:szCs w:val="26"/>
          <w:shd w:val="clear" w:color="auto" w:fill="FFFFFF"/>
          <w:vertAlign w:val="subscript"/>
        </w:rPr>
        <w:t>4</w:t>
      </w:r>
      <w:r w:rsidRPr="00D16344">
        <w:rPr>
          <w:rFonts w:ascii="Times New Roman" w:hAnsi="Times New Roman" w:cs="Times New Roman"/>
          <w:szCs w:val="26"/>
          <w:shd w:val="clear" w:color="auto" w:fill="FFFFFF"/>
        </w:rPr>
        <w:t>@US-tube</w:t>
      </w:r>
      <w:r w:rsidR="00ED5607">
        <w:rPr>
          <w:rFonts w:ascii="Times New Roman" w:hAnsi="Times New Roman" w:cs="Times New Roman"/>
          <w:szCs w:val="26"/>
          <w:shd w:val="clear" w:color="auto" w:fill="FFFFFF"/>
        </w:rPr>
        <w:t xml:space="preserve">s. *Values previously reported in Ref. 1 below. </w:t>
      </w:r>
    </w:p>
    <w:p w:rsidR="00F3659D" w:rsidRDefault="00F3659D" w:rsidP="002A55BC">
      <w:pPr>
        <w:rPr>
          <w:rFonts w:ascii="Times New Roman" w:hAnsi="Times New Roman" w:cs="Times New Roman"/>
          <w:color w:val="585858"/>
          <w:szCs w:val="26"/>
          <w:shd w:val="clear" w:color="auto" w:fill="FFFFFF"/>
        </w:rPr>
      </w:pPr>
    </w:p>
    <w:p w:rsidR="00F3659D" w:rsidRDefault="00ED5607" w:rsidP="002A55BC">
      <w:pPr>
        <w:rPr>
          <w:rFonts w:ascii="Times New Roman" w:hAnsi="Times New Roman" w:cs="Times New Roman"/>
          <w:b/>
          <w:szCs w:val="26"/>
          <w:shd w:val="clear" w:color="auto" w:fill="FFFFFF"/>
        </w:rPr>
      </w:pPr>
      <w:r>
        <w:rPr>
          <w:rFonts w:ascii="Times New Roman" w:hAnsi="Times New Roman" w:cs="Times New Roman"/>
          <w:b/>
          <w:szCs w:val="26"/>
          <w:shd w:val="clear" w:color="auto" w:fill="FFFFFF"/>
        </w:rPr>
        <w:t>Reference</w:t>
      </w:r>
    </w:p>
    <w:p w:rsidR="00E629E6" w:rsidRPr="00D16344" w:rsidRDefault="00E629E6" w:rsidP="002A55BC">
      <w:pPr>
        <w:rPr>
          <w:rFonts w:ascii="Times New Roman" w:hAnsi="Times New Roman" w:cs="Times New Roman"/>
          <w:b/>
          <w:szCs w:val="26"/>
          <w:shd w:val="clear" w:color="auto" w:fill="FFFFFF"/>
        </w:rPr>
      </w:pPr>
    </w:p>
    <w:p w:rsidR="00F3659D" w:rsidRPr="00F3659D" w:rsidRDefault="00F3659D" w:rsidP="00F3659D">
      <w:pPr>
        <w:pStyle w:val="Bibliography"/>
        <w:rPr>
          <w:rFonts w:ascii="Times New Roman" w:hAnsi="Times New Roman" w:cs="Times New Roman"/>
        </w:rPr>
      </w:pPr>
      <w:r>
        <w:rPr>
          <w:color w:val="585858"/>
          <w:szCs w:val="26"/>
          <w:shd w:val="clear" w:color="auto" w:fill="FFFFFF"/>
        </w:rPr>
        <w:fldChar w:fldCharType="begin"/>
      </w:r>
      <w:r>
        <w:rPr>
          <w:color w:val="585858"/>
          <w:szCs w:val="26"/>
          <w:shd w:val="clear" w:color="auto" w:fill="FFFFFF"/>
        </w:rPr>
        <w:instrText xml:space="preserve"> ADDIN ZOTERO_BIBL {"custom":[]} CSL_BIBLIOGRAPHY </w:instrText>
      </w:r>
      <w:r>
        <w:rPr>
          <w:color w:val="585858"/>
          <w:szCs w:val="26"/>
          <w:shd w:val="clear" w:color="auto" w:fill="FFFFFF"/>
        </w:rPr>
        <w:fldChar w:fldCharType="separate"/>
      </w:r>
      <w:r w:rsidRPr="00F3659D">
        <w:rPr>
          <w:rFonts w:ascii="Times New Roman" w:hAnsi="Times New Roman" w:cs="Times New Roman"/>
        </w:rPr>
        <w:t xml:space="preserve">1. </w:t>
      </w:r>
      <w:r w:rsidRPr="00F3659D">
        <w:rPr>
          <w:rFonts w:ascii="Times New Roman" w:hAnsi="Times New Roman" w:cs="Times New Roman"/>
        </w:rPr>
        <w:tab/>
      </w:r>
      <w:r w:rsidRPr="00E629E6">
        <w:rPr>
          <w:rFonts w:ascii="Times New Roman" w:hAnsi="Times New Roman" w:cs="Times New Roman"/>
          <w:bCs/>
        </w:rPr>
        <w:t>Phounsavath S</w:t>
      </w:r>
      <w:r w:rsidRPr="00F3659D">
        <w:rPr>
          <w:rFonts w:ascii="Times New Roman" w:hAnsi="Times New Roman" w:cs="Times New Roman"/>
        </w:rPr>
        <w:t>. RF heating of ultra-short single-walled carbon nanotubes and gadonanotubes for non-inva</w:t>
      </w:r>
      <w:r w:rsidR="00ED5607">
        <w:rPr>
          <w:rFonts w:ascii="Times New Roman" w:hAnsi="Times New Roman" w:cs="Times New Roman"/>
        </w:rPr>
        <w:t>sive cancer hyperthermia. Ph.D. Dissertation</w:t>
      </w:r>
      <w:r w:rsidRPr="00F3659D">
        <w:rPr>
          <w:rFonts w:ascii="Times New Roman" w:hAnsi="Times New Roman" w:cs="Times New Roman"/>
        </w:rPr>
        <w:t>, Rice University</w:t>
      </w:r>
      <w:r w:rsidR="00ED5607">
        <w:rPr>
          <w:rFonts w:ascii="Times New Roman" w:hAnsi="Times New Roman" w:cs="Times New Roman"/>
        </w:rPr>
        <w:t xml:space="preserve"> (2014)</w:t>
      </w:r>
      <w:r w:rsidRPr="00F3659D">
        <w:rPr>
          <w:rFonts w:ascii="Times New Roman" w:hAnsi="Times New Roman" w:cs="Times New Roman"/>
        </w:rPr>
        <w:t>.</w:t>
      </w:r>
    </w:p>
    <w:p w:rsidR="00F3659D" w:rsidRDefault="00F3659D" w:rsidP="002A55BC">
      <w:pPr>
        <w:rPr>
          <w:rFonts w:ascii="Times New Roman" w:hAnsi="Times New Roman" w:cs="Times New Roman"/>
          <w:color w:val="585858"/>
          <w:szCs w:val="26"/>
          <w:shd w:val="clear" w:color="auto" w:fill="FFFFFF"/>
        </w:rPr>
      </w:pPr>
      <w:r>
        <w:rPr>
          <w:rFonts w:ascii="Times New Roman" w:hAnsi="Times New Roman" w:cs="Times New Roman"/>
          <w:color w:val="585858"/>
          <w:szCs w:val="26"/>
          <w:shd w:val="clear" w:color="auto" w:fill="FFFFFF"/>
        </w:rPr>
        <w:fldChar w:fldCharType="end"/>
      </w:r>
    </w:p>
    <w:p w:rsidR="00C17BA3" w:rsidRPr="00C17BA3" w:rsidRDefault="00C17BA3" w:rsidP="002A55BC">
      <w:pPr>
        <w:rPr>
          <w:rFonts w:ascii="Times New Roman" w:hAnsi="Times New Roman" w:cs="Times New Roman"/>
          <w:color w:val="585858"/>
          <w:szCs w:val="26"/>
          <w:shd w:val="clear" w:color="auto" w:fill="FFFFFF"/>
          <w:lang w:val="en-GB"/>
        </w:rPr>
      </w:pPr>
    </w:p>
    <w:sectPr w:rsidR="00C17BA3" w:rsidRPr="00C17B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824" w:rsidRDefault="004F2824" w:rsidP="001B5997">
      <w:r>
        <w:separator/>
      </w:r>
    </w:p>
  </w:endnote>
  <w:endnote w:type="continuationSeparator" w:id="0">
    <w:p w:rsidR="004F2824" w:rsidRDefault="004F2824" w:rsidP="001B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824" w:rsidRDefault="004F2824" w:rsidP="001B5997">
      <w:r>
        <w:separator/>
      </w:r>
    </w:p>
  </w:footnote>
  <w:footnote w:type="continuationSeparator" w:id="0">
    <w:p w:rsidR="004F2824" w:rsidRDefault="004F2824" w:rsidP="001B5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997"/>
    <w:rsid w:val="000659DB"/>
    <w:rsid w:val="00145BF0"/>
    <w:rsid w:val="001700DE"/>
    <w:rsid w:val="001B5997"/>
    <w:rsid w:val="002A55BC"/>
    <w:rsid w:val="002C1941"/>
    <w:rsid w:val="00320C08"/>
    <w:rsid w:val="00330AEC"/>
    <w:rsid w:val="00340CF2"/>
    <w:rsid w:val="003E3610"/>
    <w:rsid w:val="004F2824"/>
    <w:rsid w:val="005C0300"/>
    <w:rsid w:val="005C75C1"/>
    <w:rsid w:val="005D6A19"/>
    <w:rsid w:val="00631F5D"/>
    <w:rsid w:val="00697E4B"/>
    <w:rsid w:val="00771256"/>
    <w:rsid w:val="007A26FA"/>
    <w:rsid w:val="007A5C5E"/>
    <w:rsid w:val="007B7753"/>
    <w:rsid w:val="007F677A"/>
    <w:rsid w:val="008E0772"/>
    <w:rsid w:val="009E2987"/>
    <w:rsid w:val="00BD3D15"/>
    <w:rsid w:val="00C17BA3"/>
    <w:rsid w:val="00D16344"/>
    <w:rsid w:val="00D60453"/>
    <w:rsid w:val="00E01BBF"/>
    <w:rsid w:val="00E629E6"/>
    <w:rsid w:val="00EC25AE"/>
    <w:rsid w:val="00ED5607"/>
    <w:rsid w:val="00F3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C103"/>
  <w15:chartTrackingRefBased/>
  <w15:docId w15:val="{715374A2-3674-4368-BA04-8CDBE8D6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997"/>
    <w:pPr>
      <w:spacing w:after="0" w:line="240" w:lineRule="auto"/>
    </w:pPr>
    <w:rPr>
      <w:rFonts w:eastAsiaTheme="minorEastAsia"/>
      <w:sz w:val="24"/>
      <w:szCs w:val="24"/>
    </w:rPr>
  </w:style>
  <w:style w:type="paragraph" w:styleId="Heading2">
    <w:name w:val="heading 2"/>
    <w:basedOn w:val="Normal"/>
    <w:link w:val="Heading2Char"/>
    <w:uiPriority w:val="9"/>
    <w:qFormat/>
    <w:rsid w:val="00145BF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997"/>
    <w:pPr>
      <w:tabs>
        <w:tab w:val="center" w:pos="4680"/>
        <w:tab w:val="right" w:pos="9360"/>
      </w:tabs>
    </w:pPr>
  </w:style>
  <w:style w:type="character" w:customStyle="1" w:styleId="HeaderChar">
    <w:name w:val="Header Char"/>
    <w:basedOn w:val="DefaultParagraphFont"/>
    <w:link w:val="Header"/>
    <w:uiPriority w:val="99"/>
    <w:rsid w:val="001B5997"/>
  </w:style>
  <w:style w:type="paragraph" w:styleId="Footer">
    <w:name w:val="footer"/>
    <w:basedOn w:val="Normal"/>
    <w:link w:val="FooterChar"/>
    <w:uiPriority w:val="99"/>
    <w:unhideWhenUsed/>
    <w:rsid w:val="001B5997"/>
    <w:pPr>
      <w:tabs>
        <w:tab w:val="center" w:pos="4680"/>
        <w:tab w:val="right" w:pos="9360"/>
      </w:tabs>
    </w:pPr>
  </w:style>
  <w:style w:type="character" w:customStyle="1" w:styleId="FooterChar">
    <w:name w:val="Footer Char"/>
    <w:basedOn w:val="DefaultParagraphFont"/>
    <w:link w:val="Footer"/>
    <w:uiPriority w:val="99"/>
    <w:rsid w:val="001B5997"/>
  </w:style>
  <w:style w:type="character" w:customStyle="1" w:styleId="apple-converted-space">
    <w:name w:val="apple-converted-space"/>
    <w:basedOn w:val="DefaultParagraphFont"/>
    <w:rsid w:val="001B5997"/>
  </w:style>
  <w:style w:type="character" w:customStyle="1" w:styleId="Heading2Char">
    <w:name w:val="Heading 2 Char"/>
    <w:basedOn w:val="DefaultParagraphFont"/>
    <w:link w:val="Heading2"/>
    <w:uiPriority w:val="9"/>
    <w:rsid w:val="00145BF0"/>
    <w:rPr>
      <w:rFonts w:ascii="Times New Roman" w:eastAsia="Times New Roman" w:hAnsi="Times New Roman" w:cs="Times New Roman"/>
      <w:b/>
      <w:bCs/>
      <w:sz w:val="36"/>
      <w:szCs w:val="36"/>
    </w:rPr>
  </w:style>
  <w:style w:type="character" w:customStyle="1" w:styleId="mw-headline">
    <w:name w:val="mw-headline"/>
    <w:basedOn w:val="DefaultParagraphFont"/>
    <w:rsid w:val="00145BF0"/>
  </w:style>
  <w:style w:type="table" w:styleId="TableGrid">
    <w:name w:val="Table Grid"/>
    <w:basedOn w:val="TableNormal"/>
    <w:uiPriority w:val="39"/>
    <w:rsid w:val="00F3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365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F365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ibliography">
    <w:name w:val="Bibliography"/>
    <w:basedOn w:val="Normal"/>
    <w:next w:val="Normal"/>
    <w:uiPriority w:val="37"/>
    <w:unhideWhenUsed/>
    <w:rsid w:val="00F3659D"/>
    <w:pPr>
      <w:tabs>
        <w:tab w:val="left" w:pos="384"/>
      </w:tabs>
      <w:spacing w:after="240" w:line="480" w:lineRule="auto"/>
      <w:ind w:left="384" w:hanging="384"/>
    </w:pPr>
  </w:style>
  <w:style w:type="paragraph" w:styleId="BalloonText">
    <w:name w:val="Balloon Text"/>
    <w:basedOn w:val="Normal"/>
    <w:link w:val="BalloonTextChar"/>
    <w:uiPriority w:val="99"/>
    <w:semiHidden/>
    <w:unhideWhenUsed/>
    <w:rsid w:val="00E62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9E6"/>
    <w:rPr>
      <w:rFonts w:ascii="Segoe UI" w:eastAsiaTheme="minorEastAsia" w:hAnsi="Segoe UI" w:cs="Segoe UI"/>
      <w:sz w:val="18"/>
      <w:szCs w:val="18"/>
    </w:rPr>
  </w:style>
  <w:style w:type="paragraph" w:customStyle="1" w:styleId="TAMainText">
    <w:name w:val="TA_Main_Text"/>
    <w:basedOn w:val="Normal"/>
    <w:rsid w:val="002C1941"/>
    <w:pPr>
      <w:spacing w:line="480" w:lineRule="auto"/>
      <w:ind w:firstLine="202"/>
      <w:jc w:val="both"/>
    </w:pPr>
    <w:rPr>
      <w:rFonts w:ascii="Times" w:eastAsia="Times New Roman" w:hAnsi="Times" w:cs="Times New Roman"/>
      <w:szCs w:val="20"/>
    </w:rPr>
  </w:style>
  <w:style w:type="paragraph" w:customStyle="1" w:styleId="BATitle">
    <w:name w:val="BA_Title"/>
    <w:basedOn w:val="Normal"/>
    <w:next w:val="Normal"/>
    <w:rsid w:val="002C1941"/>
    <w:pPr>
      <w:spacing w:before="720" w:after="360" w:line="480" w:lineRule="auto"/>
      <w:jc w:val="center"/>
    </w:pPr>
    <w:rPr>
      <w:rFonts w:ascii="Times New Roman" w:eastAsia="Times New Roman" w:hAnsi="Times New Roman" w:cs="Times New Roman"/>
      <w:sz w:val="44"/>
      <w:szCs w:val="20"/>
    </w:rPr>
  </w:style>
  <w:style w:type="paragraph" w:customStyle="1" w:styleId="BCAuthorAddress">
    <w:name w:val="BC_Author_Address"/>
    <w:basedOn w:val="Normal"/>
    <w:next w:val="Normal"/>
    <w:rsid w:val="002C1941"/>
    <w:pPr>
      <w:spacing w:after="240" w:line="480" w:lineRule="auto"/>
      <w:jc w:val="center"/>
    </w:pPr>
    <w:rPr>
      <w:rFonts w:ascii="Times" w:eastAsia="Times New Roman" w:hAnsi="Times" w:cs="Times New Roman"/>
      <w:szCs w:val="20"/>
    </w:rPr>
  </w:style>
  <w:style w:type="paragraph" w:customStyle="1" w:styleId="FACorrespondingAuthorFootnote">
    <w:name w:val="FA_Corresponding_Author_Footnote"/>
    <w:basedOn w:val="Normal"/>
    <w:next w:val="TAMainText"/>
    <w:rsid w:val="002C1941"/>
    <w:pPr>
      <w:spacing w:after="200" w:line="480" w:lineRule="auto"/>
      <w:jc w:val="both"/>
    </w:pPr>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23125">
      <w:bodyDiv w:val="1"/>
      <w:marLeft w:val="0"/>
      <w:marRight w:val="0"/>
      <w:marTop w:val="0"/>
      <w:marBottom w:val="0"/>
      <w:divBdr>
        <w:top w:val="none" w:sz="0" w:space="0" w:color="auto"/>
        <w:left w:val="none" w:sz="0" w:space="0" w:color="auto"/>
        <w:bottom w:val="none" w:sz="0" w:space="0" w:color="auto"/>
        <w:right w:val="none" w:sz="0" w:space="0" w:color="auto"/>
      </w:divBdr>
    </w:div>
    <w:div w:id="428238253">
      <w:bodyDiv w:val="1"/>
      <w:marLeft w:val="0"/>
      <w:marRight w:val="0"/>
      <w:marTop w:val="0"/>
      <w:marBottom w:val="0"/>
      <w:divBdr>
        <w:top w:val="none" w:sz="0" w:space="0" w:color="auto"/>
        <w:left w:val="none" w:sz="0" w:space="0" w:color="auto"/>
        <w:bottom w:val="none" w:sz="0" w:space="0" w:color="auto"/>
        <w:right w:val="none" w:sz="0" w:space="0" w:color="auto"/>
      </w:divBdr>
    </w:div>
    <w:div w:id="991760912">
      <w:bodyDiv w:val="1"/>
      <w:marLeft w:val="0"/>
      <w:marRight w:val="0"/>
      <w:marTop w:val="0"/>
      <w:marBottom w:val="0"/>
      <w:divBdr>
        <w:top w:val="none" w:sz="0" w:space="0" w:color="auto"/>
        <w:left w:val="none" w:sz="0" w:space="0" w:color="auto"/>
        <w:bottom w:val="none" w:sz="0" w:space="0" w:color="auto"/>
        <w:right w:val="none" w:sz="0" w:space="0" w:color="auto"/>
      </w:divBdr>
    </w:div>
    <w:div w:id="20282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Hernandez</dc:creator>
  <cp:keywords/>
  <dc:description/>
  <cp:lastModifiedBy>Mayra Hernandez</cp:lastModifiedBy>
  <cp:revision>2</cp:revision>
  <cp:lastPrinted>2016-06-23T00:21:00Z</cp:lastPrinted>
  <dcterms:created xsi:type="dcterms:W3CDTF">2019-03-23T21:05:00Z</dcterms:created>
  <dcterms:modified xsi:type="dcterms:W3CDTF">2019-03-23T21:05:00Z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id="6ET0KGvA"/&gt;&lt;style id="http://www.zotero.org/styles/molecular-and-cellular-biology"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