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1307" w14:textId="77777777" w:rsidR="008E1AC5" w:rsidRDefault="008E1AC5" w:rsidP="008E1AC5">
      <w:pPr>
        <w:spacing w:before="161"/>
        <w:ind w:left="12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Supplementary Material</w:t>
      </w:r>
    </w:p>
    <w:p w14:paraId="4EDBD7DF" w14:textId="77777777" w:rsidR="008E1AC5" w:rsidRDefault="008E1AC5" w:rsidP="008E1AC5">
      <w:pPr>
        <w:spacing w:before="161"/>
        <w:ind w:left="12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</w:t>
      </w:r>
    </w:p>
    <w:p w14:paraId="62F5682A" w14:textId="77777777" w:rsidR="008E1AC5" w:rsidRDefault="008E1AC5" w:rsidP="008E1AC5">
      <w:pPr>
        <w:rPr>
          <w:rFonts w:ascii="Calibri"/>
          <w:sz w:val="32"/>
        </w:rPr>
      </w:pPr>
      <w:r>
        <w:rPr>
          <w:rFonts w:ascii="Calibri"/>
          <w:noProof/>
          <w:sz w:val="32"/>
        </w:rPr>
        <w:drawing>
          <wp:inline distT="0" distB="0" distL="0" distR="0" wp14:anchorId="0480ACD2" wp14:editId="5772B1BB">
            <wp:extent cx="6076950" cy="54768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1182" w14:textId="77777777" w:rsidR="008E1AC5" w:rsidRDefault="008E1AC5" w:rsidP="008E1AC5">
      <w:pPr>
        <w:rPr>
          <w:rFonts w:ascii="Calibri"/>
          <w:sz w:val="32"/>
        </w:rPr>
      </w:pPr>
    </w:p>
    <w:p w14:paraId="466EAAE7" w14:textId="77777777" w:rsidR="008E1AC5" w:rsidRDefault="008E1AC5" w:rsidP="008E1AC5">
      <w:pPr>
        <w:rPr>
          <w:rFonts w:ascii="Calibri"/>
          <w:sz w:val="32"/>
        </w:rPr>
      </w:pPr>
    </w:p>
    <w:p w14:paraId="1E9F315E" w14:textId="77777777" w:rsidR="008E1AC5" w:rsidRDefault="008E1AC5" w:rsidP="008E1AC5">
      <w:pPr>
        <w:rPr>
          <w:rFonts w:ascii="Calibri"/>
          <w:sz w:val="32"/>
        </w:rPr>
      </w:pPr>
    </w:p>
    <w:p w14:paraId="5C35A7A2" w14:textId="77777777" w:rsidR="008E1AC5" w:rsidRPr="00D5640A" w:rsidRDefault="008E1AC5" w:rsidP="008E1AC5">
      <w:pPr>
        <w:rPr>
          <w:rFonts w:ascii="Calibri"/>
          <w:b/>
          <w:bCs/>
          <w:sz w:val="32"/>
        </w:rPr>
      </w:pPr>
      <w:r w:rsidRPr="00D5640A">
        <w:rPr>
          <w:rFonts w:ascii="Calibri"/>
          <w:b/>
          <w:bCs/>
          <w:sz w:val="32"/>
        </w:rPr>
        <w:t>B</w:t>
      </w:r>
    </w:p>
    <w:p w14:paraId="116CCC71" w14:textId="77777777" w:rsidR="008E1AC5" w:rsidRDefault="008E1AC5" w:rsidP="008E1AC5">
      <w:pPr>
        <w:rPr>
          <w:rFonts w:ascii="Calibri"/>
          <w:sz w:val="32"/>
        </w:rPr>
      </w:pPr>
      <w:r>
        <w:rPr>
          <w:rFonts w:ascii="Calibri"/>
          <w:noProof/>
          <w:sz w:val="32"/>
        </w:rPr>
        <w:drawing>
          <wp:inline distT="0" distB="0" distL="0" distR="0" wp14:anchorId="66192AAC" wp14:editId="6E86FD38">
            <wp:extent cx="5981700" cy="53054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BD5AF" w14:textId="77777777" w:rsidR="008E1AC5" w:rsidRDefault="008E1AC5" w:rsidP="008E1AC5">
      <w:pPr>
        <w:rPr>
          <w:rFonts w:ascii="Calibri"/>
          <w:sz w:val="32"/>
        </w:rPr>
      </w:pPr>
    </w:p>
    <w:p w14:paraId="13714AC2" w14:textId="77777777" w:rsidR="008E1AC5" w:rsidRDefault="008E1AC5" w:rsidP="008E1AC5">
      <w:pPr>
        <w:rPr>
          <w:rFonts w:ascii="Calibri"/>
          <w:sz w:val="32"/>
        </w:rPr>
      </w:pPr>
    </w:p>
    <w:p w14:paraId="7C4DA015" w14:textId="77777777" w:rsidR="008E1AC5" w:rsidRDefault="008E1AC5" w:rsidP="008E1AC5">
      <w:pPr>
        <w:rPr>
          <w:rFonts w:ascii="Calibri"/>
          <w:sz w:val="32"/>
        </w:rPr>
      </w:pPr>
    </w:p>
    <w:p w14:paraId="49033AE4" w14:textId="77777777" w:rsidR="008E1AC5" w:rsidRDefault="008E1AC5" w:rsidP="008E1AC5">
      <w:pPr>
        <w:rPr>
          <w:rFonts w:ascii="Calibri"/>
          <w:sz w:val="32"/>
        </w:rPr>
      </w:pPr>
    </w:p>
    <w:p w14:paraId="1BF72103" w14:textId="77777777" w:rsidR="008E1AC5" w:rsidRDefault="008E1AC5" w:rsidP="008E1AC5">
      <w:pPr>
        <w:rPr>
          <w:rFonts w:ascii="Calibri"/>
          <w:sz w:val="32"/>
        </w:rPr>
      </w:pPr>
      <w:r w:rsidRPr="001658B8">
        <w:rPr>
          <w:rFonts w:ascii="Calibri"/>
          <w:b/>
          <w:bCs/>
          <w:sz w:val="32"/>
        </w:rPr>
        <w:t>C</w:t>
      </w:r>
    </w:p>
    <w:p w14:paraId="72BA1DF1" w14:textId="77777777" w:rsidR="008E1AC5" w:rsidRDefault="008E1AC5" w:rsidP="008E1AC5">
      <w:pPr>
        <w:rPr>
          <w:rFonts w:ascii="Calibri"/>
          <w:b/>
          <w:bCs/>
          <w:sz w:val="32"/>
        </w:rPr>
      </w:pPr>
      <w:r w:rsidRPr="001658B8">
        <w:rPr>
          <w:rFonts w:ascii="Calibri"/>
          <w:b/>
          <w:noProof/>
          <w:sz w:val="20"/>
        </w:rPr>
        <w:drawing>
          <wp:inline distT="0" distB="0" distL="0" distR="0" wp14:anchorId="4BAD4D65" wp14:editId="527F05DD">
            <wp:extent cx="4248048" cy="40767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5648" cy="408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AD0B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65CA80FF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24C39619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7E62004A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10B21477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1AC7DD31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007D70FA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6763E7EE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7EC58FBE" w14:textId="77777777" w:rsidR="008E1AC5" w:rsidRDefault="008E1AC5" w:rsidP="008E1AC5">
      <w:pPr>
        <w:rPr>
          <w:rFonts w:ascii="Calibri"/>
          <w:b/>
          <w:bCs/>
          <w:sz w:val="32"/>
        </w:rPr>
      </w:pPr>
    </w:p>
    <w:p w14:paraId="7C28621B" w14:textId="77777777" w:rsidR="008E1AC5" w:rsidRDefault="008E1AC5" w:rsidP="008E1AC5">
      <w:pPr>
        <w:rPr>
          <w:rFonts w:ascii="Calibri"/>
          <w:b/>
          <w:bCs/>
          <w:sz w:val="32"/>
        </w:rPr>
      </w:pPr>
      <w:r>
        <w:rPr>
          <w:rFonts w:ascii="Calibri"/>
          <w:b/>
          <w:bCs/>
          <w:sz w:val="32"/>
        </w:rPr>
        <w:t>D</w:t>
      </w:r>
    </w:p>
    <w:p w14:paraId="3448B034" w14:textId="77777777" w:rsidR="008E1AC5" w:rsidRPr="001658B8" w:rsidRDefault="008E1AC5" w:rsidP="008E1AC5">
      <w:pPr>
        <w:rPr>
          <w:rFonts w:ascii="Calibri"/>
          <w:b/>
          <w:bCs/>
          <w:sz w:val="32"/>
        </w:rPr>
        <w:sectPr w:rsidR="008E1AC5" w:rsidRPr="001658B8" w:rsidSect="00BC073D">
          <w:pgSz w:w="16840" w:h="11910" w:orient="landscape"/>
          <w:pgMar w:top="1100" w:right="1320" w:bottom="280" w:left="1320" w:header="720" w:footer="720" w:gutter="0"/>
          <w:cols w:space="720"/>
        </w:sectPr>
      </w:pPr>
      <w:r w:rsidRPr="001658B8">
        <w:rPr>
          <w:rFonts w:ascii="Calibri"/>
          <w:b/>
          <w:noProof/>
          <w:sz w:val="20"/>
        </w:rPr>
        <w:drawing>
          <wp:inline distT="0" distB="0" distL="0" distR="0" wp14:anchorId="6E10D7E2" wp14:editId="1736E8D3">
            <wp:extent cx="4848762" cy="41052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2124" cy="410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813F" w14:textId="77777777" w:rsidR="008E1AC5" w:rsidRDefault="008E1AC5" w:rsidP="008E1AC5">
      <w:pPr>
        <w:pStyle w:val="Textoindependiente"/>
        <w:spacing w:before="4"/>
        <w:rPr>
          <w:rFonts w:ascii="Calibri"/>
          <w:b/>
          <w:sz w:val="23"/>
        </w:rPr>
      </w:pPr>
    </w:p>
    <w:p w14:paraId="06173D3C" w14:textId="77777777" w:rsidR="008E1AC5" w:rsidRDefault="008E1AC5" w:rsidP="008E1AC5">
      <w:pPr>
        <w:pStyle w:val="Textoindependiente"/>
        <w:spacing w:before="92" w:line="276" w:lineRule="auto"/>
        <w:ind w:left="119" w:right="119"/>
        <w:jc w:val="both"/>
      </w:pPr>
      <w:r w:rsidRPr="00450598">
        <w:rPr>
          <w:b/>
          <w:highlight w:val="yellow"/>
        </w:rPr>
        <w:t>Supplementary figure 1. A, B</w:t>
      </w:r>
      <w:r>
        <w:rPr>
          <w:b/>
        </w:rPr>
        <w:t xml:space="preserve"> </w:t>
      </w:r>
      <w:r>
        <w:t xml:space="preserve">Lytic lesion which involves lunate, hamate, and distal pole of the scaphoid bone bilaterally. Lytic lesion in distal radius. Generalized demineralization with thickening of trabecular pattern. Moth-eaten pattern (subperiosteal resorption) in metacarpal and phalanxes. Furthermore, cortical is irregular with small lytic images in the distal portion of the visible phalanxes. </w:t>
      </w:r>
      <w:r w:rsidRPr="00501F56">
        <w:rPr>
          <w:b/>
          <w:highlight w:val="yellow"/>
        </w:rPr>
        <w:t>C, D</w:t>
      </w:r>
      <w:r>
        <w:rPr>
          <w:b/>
        </w:rPr>
        <w:t xml:space="preserve"> </w:t>
      </w:r>
      <w:r>
        <w:t>Skull with salt and pepper lesions, a fine speckled pattern, and loss of the internal/external cortical definition.</w:t>
      </w:r>
    </w:p>
    <w:p w14:paraId="4494D720" w14:textId="77777777" w:rsidR="008E1AC5" w:rsidRDefault="008E1AC5" w:rsidP="008E1AC5">
      <w:pPr>
        <w:spacing w:line="276" w:lineRule="auto"/>
        <w:jc w:val="both"/>
        <w:sectPr w:rsidR="008E1AC5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1D0DC689" w14:textId="77777777" w:rsidR="008E1AC5" w:rsidRDefault="008E1AC5" w:rsidP="008E1AC5">
      <w:pPr>
        <w:pStyle w:val="Textoindependiente"/>
        <w:spacing w:before="9"/>
        <w:rPr>
          <w:sz w:val="28"/>
        </w:rPr>
      </w:pPr>
    </w:p>
    <w:p w14:paraId="34863C6E" w14:textId="77777777" w:rsidR="008E1AC5" w:rsidRDefault="008E1AC5" w:rsidP="008E1AC5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440"/>
      </w:tblGrid>
      <w:tr w:rsidR="008E1AC5" w14:paraId="71EF5073" w14:textId="77777777" w:rsidTr="00F16817">
        <w:trPr>
          <w:trHeight w:val="955"/>
        </w:trPr>
        <w:tc>
          <w:tcPr>
            <w:tcW w:w="4426" w:type="dxa"/>
          </w:tcPr>
          <w:p w14:paraId="1CC90674" w14:textId="77777777" w:rsidR="008E1AC5" w:rsidRDefault="008E1AC5" w:rsidP="00F16817">
            <w:pPr>
              <w:pStyle w:val="TableParagraph"/>
              <w:spacing w:before="7"/>
              <w:rPr>
                <w:sz w:val="29"/>
              </w:rPr>
            </w:pPr>
          </w:p>
          <w:p w14:paraId="67095659" w14:textId="77777777" w:rsidR="008E1AC5" w:rsidRDefault="008E1AC5" w:rsidP="00F16817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Case reports from 2009-2020 (n =24)</w:t>
            </w:r>
          </w:p>
        </w:tc>
        <w:tc>
          <w:tcPr>
            <w:tcW w:w="4440" w:type="dxa"/>
          </w:tcPr>
          <w:p w14:paraId="6C4275BD" w14:textId="77777777" w:rsidR="008E1AC5" w:rsidRDefault="008E1AC5" w:rsidP="00F16817">
            <w:pPr>
              <w:pStyle w:val="TableParagraph"/>
              <w:spacing w:before="6"/>
              <w:rPr>
                <w:sz w:val="29"/>
              </w:rPr>
            </w:pPr>
          </w:p>
          <w:p w14:paraId="4CABB298" w14:textId="77777777" w:rsidR="008E1AC5" w:rsidRDefault="008E1AC5" w:rsidP="00F16817">
            <w:pPr>
              <w:pStyle w:val="TableParagraph"/>
              <w:spacing w:before="1"/>
              <w:ind w:left="619" w:right="603"/>
              <w:jc w:val="center"/>
              <w:rPr>
                <w:b/>
              </w:rPr>
            </w:pPr>
            <w:r>
              <w:rPr>
                <w:b/>
              </w:rPr>
              <w:t>Findings</w:t>
            </w:r>
          </w:p>
        </w:tc>
      </w:tr>
      <w:tr w:rsidR="008E1AC5" w14:paraId="4990E790" w14:textId="77777777" w:rsidTr="00F16817">
        <w:trPr>
          <w:trHeight w:val="710"/>
        </w:trPr>
        <w:tc>
          <w:tcPr>
            <w:tcW w:w="4426" w:type="dxa"/>
          </w:tcPr>
          <w:p w14:paraId="04EE46D0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441F56EE" w14:textId="77777777" w:rsidR="008E1AC5" w:rsidRDefault="008E1AC5" w:rsidP="00F16817">
            <w:pPr>
              <w:pStyle w:val="TableParagraph"/>
              <w:ind w:left="100"/>
            </w:pPr>
            <w:r>
              <w:t>Gender</w:t>
            </w:r>
          </w:p>
        </w:tc>
        <w:tc>
          <w:tcPr>
            <w:tcW w:w="4440" w:type="dxa"/>
          </w:tcPr>
          <w:p w14:paraId="0156B93D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770D054A" w14:textId="77777777" w:rsidR="008E1AC5" w:rsidRDefault="008E1AC5" w:rsidP="00F16817">
            <w:pPr>
              <w:pStyle w:val="TableParagraph"/>
              <w:ind w:left="618" w:right="603"/>
              <w:jc w:val="center"/>
            </w:pPr>
            <w:r>
              <w:t>♀70%</w:t>
            </w:r>
          </w:p>
        </w:tc>
      </w:tr>
      <w:tr w:rsidR="008E1AC5" w14:paraId="39DCB3DA" w14:textId="77777777" w:rsidTr="00F16817">
        <w:trPr>
          <w:trHeight w:val="710"/>
        </w:trPr>
        <w:tc>
          <w:tcPr>
            <w:tcW w:w="4426" w:type="dxa"/>
          </w:tcPr>
          <w:p w14:paraId="5710521B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282ACB00" w14:textId="77777777" w:rsidR="008E1AC5" w:rsidRDefault="008E1AC5" w:rsidP="00F16817">
            <w:pPr>
              <w:pStyle w:val="TableParagraph"/>
              <w:ind w:left="100"/>
            </w:pPr>
            <w:r>
              <w:t>Age</w:t>
            </w:r>
          </w:p>
        </w:tc>
        <w:tc>
          <w:tcPr>
            <w:tcW w:w="4440" w:type="dxa"/>
          </w:tcPr>
          <w:p w14:paraId="0CBA75C7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6844FE4D" w14:textId="77777777" w:rsidR="008E1AC5" w:rsidRDefault="008E1AC5" w:rsidP="00F16817">
            <w:pPr>
              <w:pStyle w:val="TableParagraph"/>
              <w:ind w:left="620" w:right="603"/>
              <w:jc w:val="center"/>
            </w:pPr>
            <w:r>
              <w:t>Mean 52 years (24-78)</w:t>
            </w:r>
          </w:p>
        </w:tc>
      </w:tr>
      <w:tr w:rsidR="008E1AC5" w14:paraId="1C40F008" w14:textId="77777777" w:rsidTr="00F16817">
        <w:trPr>
          <w:trHeight w:val="710"/>
        </w:trPr>
        <w:tc>
          <w:tcPr>
            <w:tcW w:w="4426" w:type="dxa"/>
          </w:tcPr>
          <w:p w14:paraId="62EC90E7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287FDE89" w14:textId="77777777" w:rsidR="008E1AC5" w:rsidRDefault="008E1AC5" w:rsidP="00F16817">
            <w:pPr>
              <w:pStyle w:val="TableParagraph"/>
              <w:ind w:left="100"/>
            </w:pPr>
            <w:r>
              <w:t>Side</w:t>
            </w:r>
          </w:p>
        </w:tc>
        <w:tc>
          <w:tcPr>
            <w:tcW w:w="4440" w:type="dxa"/>
          </w:tcPr>
          <w:p w14:paraId="4C8907D5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3FFE5CF5" w14:textId="77777777" w:rsidR="008E1AC5" w:rsidRDefault="008E1AC5" w:rsidP="00F16817">
            <w:pPr>
              <w:pStyle w:val="TableParagraph"/>
              <w:ind w:left="620" w:right="603"/>
              <w:jc w:val="center"/>
            </w:pPr>
            <w:r>
              <w:t>Left 45% Right 35% Middle 20%</w:t>
            </w:r>
          </w:p>
        </w:tc>
      </w:tr>
      <w:tr w:rsidR="008E1AC5" w14:paraId="1B0323C9" w14:textId="77777777" w:rsidTr="00F16817">
        <w:trPr>
          <w:trHeight w:val="3366"/>
        </w:trPr>
        <w:tc>
          <w:tcPr>
            <w:tcW w:w="4426" w:type="dxa"/>
          </w:tcPr>
          <w:p w14:paraId="02453242" w14:textId="77777777" w:rsidR="008E1AC5" w:rsidRDefault="008E1AC5" w:rsidP="00F16817">
            <w:pPr>
              <w:pStyle w:val="TableParagraph"/>
              <w:spacing w:before="10"/>
              <w:rPr>
                <w:sz w:val="27"/>
              </w:rPr>
            </w:pPr>
          </w:p>
          <w:p w14:paraId="33A5CF2A" w14:textId="77777777" w:rsidR="008E1AC5" w:rsidRDefault="008E1AC5" w:rsidP="00F16817">
            <w:pPr>
              <w:pStyle w:val="TableParagraph"/>
              <w:ind w:left="100"/>
            </w:pPr>
            <w:r>
              <w:t>Clinical presentation</w:t>
            </w:r>
          </w:p>
        </w:tc>
        <w:tc>
          <w:tcPr>
            <w:tcW w:w="4440" w:type="dxa"/>
          </w:tcPr>
          <w:p w14:paraId="7B095925" w14:textId="77777777" w:rsidR="008E1AC5" w:rsidRDefault="008E1AC5" w:rsidP="00F16817">
            <w:pPr>
              <w:pStyle w:val="TableParagraph"/>
              <w:spacing w:before="10"/>
              <w:rPr>
                <w:sz w:val="27"/>
              </w:rPr>
            </w:pPr>
          </w:p>
          <w:p w14:paraId="30ADDDF3" w14:textId="77777777" w:rsidR="008E1AC5" w:rsidRDefault="008E1AC5" w:rsidP="00F16817">
            <w:pPr>
              <w:pStyle w:val="TableParagraph"/>
              <w:ind w:left="618" w:right="603"/>
              <w:jc w:val="center"/>
            </w:pPr>
            <w:r>
              <w:t>Palpable nodule 45%</w:t>
            </w:r>
          </w:p>
          <w:p w14:paraId="19287059" w14:textId="77777777" w:rsidR="008E1AC5" w:rsidRDefault="008E1AC5" w:rsidP="00F16817">
            <w:pPr>
              <w:pStyle w:val="TableParagraph"/>
              <w:spacing w:before="2"/>
              <w:rPr>
                <w:sz w:val="24"/>
              </w:rPr>
            </w:pPr>
          </w:p>
          <w:p w14:paraId="3F6ABB3B" w14:textId="77777777" w:rsidR="008E1AC5" w:rsidRDefault="008E1AC5" w:rsidP="00F16817">
            <w:pPr>
              <w:pStyle w:val="TableParagraph"/>
              <w:ind w:left="617" w:right="603"/>
              <w:jc w:val="center"/>
            </w:pPr>
            <w:r>
              <w:t>Bone pain 33%</w:t>
            </w:r>
          </w:p>
          <w:p w14:paraId="7C9DA969" w14:textId="77777777" w:rsidR="008E1AC5" w:rsidRDefault="008E1AC5" w:rsidP="00F16817">
            <w:pPr>
              <w:pStyle w:val="TableParagraph"/>
              <w:spacing w:before="1"/>
              <w:rPr>
                <w:sz w:val="24"/>
              </w:rPr>
            </w:pPr>
          </w:p>
          <w:p w14:paraId="47791F53" w14:textId="77777777" w:rsidR="008E1AC5" w:rsidRDefault="008E1AC5" w:rsidP="00F16817">
            <w:pPr>
              <w:pStyle w:val="TableParagraph"/>
              <w:ind w:left="618" w:right="603"/>
              <w:jc w:val="center"/>
            </w:pPr>
            <w:r>
              <w:t>Brown tumor</w:t>
            </w:r>
            <w:r>
              <w:rPr>
                <w:spacing w:val="-6"/>
              </w:rPr>
              <w:t xml:space="preserve"> </w:t>
            </w:r>
            <w:r>
              <w:t>12.5%</w:t>
            </w:r>
          </w:p>
          <w:p w14:paraId="0CB38880" w14:textId="77777777" w:rsidR="008E1AC5" w:rsidRDefault="008E1AC5" w:rsidP="00F16817">
            <w:pPr>
              <w:pStyle w:val="TableParagraph"/>
              <w:spacing w:before="3"/>
              <w:rPr>
                <w:sz w:val="24"/>
              </w:rPr>
            </w:pPr>
          </w:p>
          <w:p w14:paraId="5E8845B4" w14:textId="77777777" w:rsidR="008E1AC5" w:rsidRDefault="008E1AC5" w:rsidP="00F16817">
            <w:pPr>
              <w:pStyle w:val="TableParagraph"/>
              <w:ind w:left="620" w:right="603"/>
              <w:jc w:val="center"/>
            </w:pPr>
            <w:proofErr w:type="spellStart"/>
            <w:r>
              <w:t>Nephrolitiasis</w:t>
            </w:r>
            <w:proofErr w:type="spellEnd"/>
            <w:r>
              <w:rPr>
                <w:spacing w:val="-6"/>
              </w:rPr>
              <w:t xml:space="preserve"> </w:t>
            </w:r>
            <w:r>
              <w:t>12.5%</w:t>
            </w:r>
          </w:p>
          <w:p w14:paraId="2CE6F4DD" w14:textId="77777777" w:rsidR="008E1AC5" w:rsidRDefault="008E1AC5" w:rsidP="00F16817">
            <w:pPr>
              <w:pStyle w:val="TableParagraph"/>
              <w:spacing w:before="1"/>
              <w:rPr>
                <w:sz w:val="24"/>
              </w:rPr>
            </w:pPr>
          </w:p>
          <w:p w14:paraId="334CA065" w14:textId="77777777" w:rsidR="008E1AC5" w:rsidRDefault="008E1AC5" w:rsidP="00F16817">
            <w:pPr>
              <w:pStyle w:val="TableParagraph"/>
              <w:ind w:left="619" w:right="603"/>
              <w:jc w:val="center"/>
            </w:pPr>
            <w:r>
              <w:t>Constipation 25%</w:t>
            </w:r>
          </w:p>
          <w:p w14:paraId="1DB221ED" w14:textId="77777777" w:rsidR="008E1AC5" w:rsidRDefault="008E1AC5" w:rsidP="00F16817">
            <w:pPr>
              <w:pStyle w:val="TableParagraph"/>
              <w:spacing w:before="3"/>
              <w:rPr>
                <w:sz w:val="24"/>
              </w:rPr>
            </w:pPr>
          </w:p>
          <w:p w14:paraId="55CC55C4" w14:textId="77777777" w:rsidR="008E1AC5" w:rsidRDefault="008E1AC5" w:rsidP="00F16817">
            <w:pPr>
              <w:pStyle w:val="TableParagraph"/>
              <w:ind w:left="620" w:right="603"/>
              <w:jc w:val="center"/>
            </w:pPr>
            <w:r>
              <w:t>Asymptomatic 12.5%.</w:t>
            </w:r>
          </w:p>
        </w:tc>
      </w:tr>
      <w:tr w:rsidR="008E1AC5" w14:paraId="19E45CCD" w14:textId="77777777" w:rsidTr="00F16817">
        <w:trPr>
          <w:trHeight w:val="1241"/>
        </w:trPr>
        <w:tc>
          <w:tcPr>
            <w:tcW w:w="4426" w:type="dxa"/>
          </w:tcPr>
          <w:p w14:paraId="628098DB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7A74E44B" w14:textId="77777777" w:rsidR="008E1AC5" w:rsidRDefault="008E1AC5" w:rsidP="00F16817">
            <w:pPr>
              <w:pStyle w:val="TableParagraph"/>
              <w:ind w:left="100"/>
            </w:pPr>
            <w:r>
              <w:t>Metabolic profile</w:t>
            </w:r>
          </w:p>
        </w:tc>
        <w:tc>
          <w:tcPr>
            <w:tcW w:w="4440" w:type="dxa"/>
          </w:tcPr>
          <w:p w14:paraId="7167102C" w14:textId="77777777" w:rsidR="008E1AC5" w:rsidRDefault="008E1AC5" w:rsidP="00F16817">
            <w:pPr>
              <w:pStyle w:val="TableParagraph"/>
              <w:spacing w:before="43" w:line="530" w:lineRule="atLeast"/>
              <w:ind w:left="1172" w:right="1136" w:firstLine="55"/>
            </w:pPr>
            <w:r>
              <w:t>Mean Ca 13.8 mg/dl Mean PTH 1109 ng/L</w:t>
            </w:r>
          </w:p>
        </w:tc>
      </w:tr>
      <w:tr w:rsidR="008E1AC5" w14:paraId="1CDFA6E8" w14:textId="77777777" w:rsidTr="00F16817">
        <w:trPr>
          <w:trHeight w:val="711"/>
        </w:trPr>
        <w:tc>
          <w:tcPr>
            <w:tcW w:w="4426" w:type="dxa"/>
          </w:tcPr>
          <w:p w14:paraId="68C8DED7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7D19CB0C" w14:textId="77777777" w:rsidR="008E1AC5" w:rsidRDefault="008E1AC5" w:rsidP="00F16817">
            <w:pPr>
              <w:pStyle w:val="TableParagraph"/>
              <w:ind w:left="100"/>
            </w:pPr>
            <w:r>
              <w:t>Tumor weight (g)</w:t>
            </w:r>
          </w:p>
        </w:tc>
        <w:tc>
          <w:tcPr>
            <w:tcW w:w="4440" w:type="dxa"/>
          </w:tcPr>
          <w:p w14:paraId="618F8F9B" w14:textId="77777777" w:rsidR="008E1AC5" w:rsidRDefault="008E1AC5" w:rsidP="00F16817">
            <w:pPr>
              <w:pStyle w:val="TableParagraph"/>
              <w:spacing w:before="9"/>
              <w:rPr>
                <w:sz w:val="27"/>
              </w:rPr>
            </w:pPr>
          </w:p>
          <w:p w14:paraId="5B851E13" w14:textId="77777777" w:rsidR="008E1AC5" w:rsidRDefault="008E1AC5" w:rsidP="00F16817">
            <w:pPr>
              <w:pStyle w:val="TableParagraph"/>
              <w:ind w:left="618" w:right="603"/>
              <w:jc w:val="center"/>
            </w:pPr>
            <w:proofErr w:type="gramStart"/>
            <w:r>
              <w:t>Mean  47.24</w:t>
            </w:r>
            <w:proofErr w:type="gramEnd"/>
            <w:r>
              <w:t xml:space="preserve"> g</w:t>
            </w:r>
          </w:p>
        </w:tc>
      </w:tr>
    </w:tbl>
    <w:p w14:paraId="4B12CA41" w14:textId="77777777" w:rsidR="008E1AC5" w:rsidRDefault="008E1AC5" w:rsidP="008E1AC5">
      <w:pPr>
        <w:jc w:val="center"/>
        <w:sectPr w:rsidR="008E1AC5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2AE5ED64" w14:textId="77777777" w:rsidR="008E1AC5" w:rsidRDefault="008E1AC5" w:rsidP="008E1AC5">
      <w:pPr>
        <w:pStyle w:val="Textoindependiente"/>
        <w:spacing w:before="11"/>
        <w:rPr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4440"/>
      </w:tblGrid>
      <w:tr w:rsidR="008E1AC5" w14:paraId="6FECAF4D" w14:textId="77777777" w:rsidTr="00F16817">
        <w:trPr>
          <w:trHeight w:val="2084"/>
        </w:trPr>
        <w:tc>
          <w:tcPr>
            <w:tcW w:w="4426" w:type="dxa"/>
            <w:tcBorders>
              <w:top w:val="nil"/>
            </w:tcBorders>
          </w:tcPr>
          <w:p w14:paraId="51D0DDA2" w14:textId="77777777" w:rsidR="008E1AC5" w:rsidRDefault="008E1AC5" w:rsidP="00F16817">
            <w:pPr>
              <w:pStyle w:val="TableParagraph"/>
              <w:spacing w:before="6"/>
              <w:rPr>
                <w:sz w:val="29"/>
              </w:rPr>
            </w:pPr>
          </w:p>
          <w:p w14:paraId="54D3748E" w14:textId="77777777" w:rsidR="008E1AC5" w:rsidRDefault="008E1AC5" w:rsidP="00F16817">
            <w:pPr>
              <w:pStyle w:val="TableParagraph"/>
              <w:ind w:left="100"/>
            </w:pPr>
            <w:r>
              <w:t>Post-operative complications</w:t>
            </w:r>
          </w:p>
        </w:tc>
        <w:tc>
          <w:tcPr>
            <w:tcW w:w="4440" w:type="dxa"/>
            <w:tcBorders>
              <w:top w:val="nil"/>
            </w:tcBorders>
          </w:tcPr>
          <w:p w14:paraId="4F2B4A38" w14:textId="77777777" w:rsidR="008E1AC5" w:rsidRDefault="008E1AC5" w:rsidP="00F16817">
            <w:pPr>
              <w:pStyle w:val="TableParagraph"/>
              <w:spacing w:before="6"/>
              <w:rPr>
                <w:sz w:val="29"/>
              </w:rPr>
            </w:pPr>
          </w:p>
          <w:p w14:paraId="4ACB2FFE" w14:textId="77777777" w:rsidR="008E1AC5" w:rsidRDefault="008E1AC5" w:rsidP="00F16817">
            <w:pPr>
              <w:pStyle w:val="TableParagraph"/>
              <w:ind w:left="555"/>
            </w:pPr>
            <w:r>
              <w:t>Symptomatic hypocalcemia (32%)</w:t>
            </w:r>
          </w:p>
          <w:p w14:paraId="6FFD0175" w14:textId="77777777" w:rsidR="008E1AC5" w:rsidRDefault="008E1AC5" w:rsidP="00F16817">
            <w:pPr>
              <w:pStyle w:val="TableParagraph"/>
              <w:spacing w:before="2"/>
              <w:rPr>
                <w:sz w:val="24"/>
              </w:rPr>
            </w:pPr>
          </w:p>
          <w:p w14:paraId="582DCBB4" w14:textId="77777777" w:rsidR="008E1AC5" w:rsidRDefault="008E1AC5" w:rsidP="00F16817">
            <w:pPr>
              <w:pStyle w:val="TableParagraph"/>
              <w:spacing w:before="1" w:line="276" w:lineRule="auto"/>
              <w:ind w:left="98"/>
            </w:pPr>
            <w:r>
              <w:t>Hungry bone syndrome (25%): especially with weight ≥15g</w:t>
            </w:r>
          </w:p>
        </w:tc>
      </w:tr>
    </w:tbl>
    <w:p w14:paraId="660E00ED" w14:textId="77777777" w:rsidR="008E1AC5" w:rsidRDefault="008E1AC5" w:rsidP="008E1AC5">
      <w:pPr>
        <w:pStyle w:val="Textoindependiente"/>
        <w:rPr>
          <w:sz w:val="20"/>
        </w:rPr>
      </w:pPr>
    </w:p>
    <w:p w14:paraId="424669ED" w14:textId="77777777" w:rsidR="008E1AC5" w:rsidRDefault="008E1AC5" w:rsidP="008E1AC5">
      <w:pPr>
        <w:pStyle w:val="Textoindependiente"/>
        <w:spacing w:before="6"/>
      </w:pPr>
    </w:p>
    <w:p w14:paraId="225A7D2B" w14:textId="77777777" w:rsidR="008E1AC5" w:rsidRDefault="008E1AC5" w:rsidP="008E1AC5">
      <w:pPr>
        <w:spacing w:before="93"/>
        <w:ind w:left="120"/>
      </w:pPr>
      <w:r w:rsidRPr="006A78FB">
        <w:rPr>
          <w:b/>
          <w:highlight w:val="yellow"/>
        </w:rPr>
        <w:t xml:space="preserve">Supplementary Table 1. </w:t>
      </w:r>
      <w:r w:rsidRPr="006A78FB">
        <w:rPr>
          <w:highlight w:val="yellow"/>
        </w:rPr>
        <w:t>Characteristics of case reports with giant parathyroid adenomas.</w:t>
      </w:r>
    </w:p>
    <w:p w14:paraId="105353F3" w14:textId="77777777" w:rsidR="00371F7C" w:rsidRDefault="00371F7C"/>
    <w:sectPr w:rsidR="00371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C5"/>
    <w:rsid w:val="00371F7C"/>
    <w:rsid w:val="008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F77B"/>
  <w15:chartTrackingRefBased/>
  <w15:docId w15:val="{D1105CCE-688D-44C7-A6D1-C6A8BAC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A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E1AC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1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1AC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ÁLVAREZ PAYARES</dc:creator>
  <cp:keywords/>
  <dc:description/>
  <cp:lastModifiedBy>JOSÉ CARLOS ÁLVAREZ PAYARES</cp:lastModifiedBy>
  <cp:revision>1</cp:revision>
  <dcterms:created xsi:type="dcterms:W3CDTF">2022-01-12T23:49:00Z</dcterms:created>
  <dcterms:modified xsi:type="dcterms:W3CDTF">2022-01-12T23:50:00Z</dcterms:modified>
</cp:coreProperties>
</file>