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4AAF" w14:textId="77777777" w:rsidR="00FA6819" w:rsidRPr="00E74DF9" w:rsidRDefault="00FA6819" w:rsidP="00FA6819">
      <w:pPr>
        <w:rPr>
          <w:rFonts w:ascii="Times New Roman" w:hAnsi="Times New Roman"/>
          <w:color w:val="auto"/>
          <w:sz w:val="18"/>
          <w:szCs w:val="18"/>
        </w:rPr>
      </w:pPr>
      <w:r w:rsidRPr="00680728">
        <w:rPr>
          <w:rFonts w:ascii="Times New Roman" w:hAnsi="Times New Roman" w:hint="eastAsia"/>
          <w:b/>
          <w:color w:val="auto"/>
          <w:sz w:val="18"/>
          <w:szCs w:val="18"/>
        </w:rPr>
        <w:t>Table S</w:t>
      </w:r>
      <w:r>
        <w:rPr>
          <w:rFonts w:ascii="Times New Roman" w:hAnsi="Times New Roman"/>
          <w:b/>
          <w:color w:val="auto"/>
          <w:sz w:val="18"/>
          <w:szCs w:val="18"/>
        </w:rPr>
        <w:t>3</w:t>
      </w:r>
      <w:r>
        <w:rPr>
          <w:rFonts w:ascii="Times New Roman" w:hAnsi="Times New Roman" w:hint="eastAsia"/>
          <w:b/>
          <w:color w:val="auto"/>
          <w:sz w:val="18"/>
          <w:szCs w:val="18"/>
        </w:rPr>
        <w:t xml:space="preserve">. 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ROC analysis of the different gut </w:t>
      </w:r>
      <w:r w:rsidRPr="00E74DF9">
        <w:rPr>
          <w:rFonts w:ascii="Times New Roman" w:hAnsi="Times New Roman"/>
          <w:color w:val="auto"/>
          <w:sz w:val="18"/>
          <w:szCs w:val="18"/>
        </w:rPr>
        <w:t>bacteria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 between the GC patients and controls in the </w:t>
      </w:r>
      <w:r>
        <w:rPr>
          <w:rFonts w:ascii="Times New Roman" w:hAnsi="Times New Roman" w:hint="eastAsia"/>
          <w:color w:val="auto"/>
          <w:sz w:val="18"/>
          <w:szCs w:val="18"/>
        </w:rPr>
        <w:t>matching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 population</w:t>
      </w:r>
    </w:p>
    <w:tbl>
      <w:tblPr>
        <w:tblW w:w="8800" w:type="dxa"/>
        <w:tblInd w:w="96" w:type="dxa"/>
        <w:tblLook w:val="04A0" w:firstRow="1" w:lastRow="0" w:firstColumn="1" w:lastColumn="0" w:noHBand="0" w:noVBand="1"/>
      </w:tblPr>
      <w:tblGrid>
        <w:gridCol w:w="3131"/>
        <w:gridCol w:w="1417"/>
        <w:gridCol w:w="1276"/>
        <w:gridCol w:w="1161"/>
        <w:gridCol w:w="1815"/>
      </w:tblGrid>
      <w:tr w:rsidR="00FA6819" w:rsidRPr="00B14937" w14:paraId="22828B4F" w14:textId="77777777" w:rsidTr="00520FC9">
        <w:trPr>
          <w:trHeight w:val="30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F43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　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>The different bacterial taxa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6574" w14:textId="23979A06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 xml:space="preserve">Relative abundance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[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proofErr w:type="spellStart"/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Mean±</w:t>
            </w:r>
            <w:proofErr w:type="gramStart"/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SD</w:t>
            </w:r>
            <w:proofErr w:type="spellEnd"/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  <w:proofErr w:type="gramEnd"/>
            <w:r>
              <w:rPr>
                <w:rFonts w:ascii="Times New Roman" w:hAnsi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CD3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Z(P)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1B0" w14:textId="09FC927A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AUC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(95%CI)</w:t>
            </w:r>
            <w:bookmarkStart w:id="0" w:name="_GoBack"/>
            <w:bookmarkEnd w:id="0"/>
          </w:p>
        </w:tc>
      </w:tr>
      <w:tr w:rsidR="00FA6819" w:rsidRPr="00B14937" w14:paraId="59113EE8" w14:textId="77777777" w:rsidTr="00520FC9">
        <w:trPr>
          <w:trHeight w:val="300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1E9C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008" w14:textId="77777777" w:rsidR="00FA6819" w:rsidRPr="001704ED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GC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patients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(n=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4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6F0" w14:textId="77777777" w:rsidR="00FA6819" w:rsidRPr="001704ED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Control</w:t>
            </w:r>
            <w:r w:rsidRPr="001704ED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(n=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44</w:t>
            </w:r>
            <w:r w:rsidRPr="001704ED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2B7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2F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FA6819" w:rsidRPr="00B14937" w14:paraId="3056505B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9D2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Veillonella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011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2.18±3.97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BE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0.37±1.45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7B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5.741(0.000)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14F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0.855(0.773,0.937)</w:t>
            </w:r>
          </w:p>
        </w:tc>
      </w:tr>
      <w:tr w:rsidR="00FA6819" w:rsidRPr="00B14937" w14:paraId="3969C012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51A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Megasphaera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2A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0.73±3.10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6F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0.04±0.13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6C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4.097(0.000)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5E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0.745(0.640,0.849)</w:t>
            </w:r>
          </w:p>
        </w:tc>
      </w:tr>
      <w:tr w:rsidR="00FA6819" w:rsidRPr="00B14937" w14:paraId="581F728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962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s__Bifidobacterium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dentium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C1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0.06±0.10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66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96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4.238(0.000)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0A2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0.741(0.635,0.848)</w:t>
            </w:r>
          </w:p>
        </w:tc>
      </w:tr>
      <w:tr w:rsidR="00FA6819" w:rsidRPr="00B14937" w14:paraId="07A6B593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78A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Prevotella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5B7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0.30±0.73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BD8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51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4.201(0.000)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93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0.739(0.635,0.844)</w:t>
            </w:r>
          </w:p>
        </w:tc>
      </w:tr>
      <w:tr w:rsidR="00FA6819" w:rsidRPr="00B14937" w14:paraId="5DD5DD75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A28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s__Streptococcus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salivarius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subsp.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salivarius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B6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2.79±3.54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A0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1.50±4.72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A5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3.843(0.000)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EE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0.738(0.633,0.842)</w:t>
            </w:r>
          </w:p>
        </w:tc>
      </w:tr>
      <w:tr w:rsidR="00FA6819" w:rsidRPr="00B14937" w14:paraId="6CED09A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DAA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s__Streptococcus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mitis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3CA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0.29±0.52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FA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0.33±1.29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A8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3.541(0.000)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7B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0.719(0.610,0.828)</w:t>
            </w:r>
          </w:p>
        </w:tc>
      </w:tr>
      <w:tr w:rsidR="00FA6819" w:rsidRPr="00B14937" w14:paraId="5AC598E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033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Desulfovibrio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EA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0.44±0.62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5D4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0.13±0.32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23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3.432(0.001)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144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0.708(0.599,0.817)</w:t>
            </w:r>
          </w:p>
        </w:tc>
      </w:tr>
      <w:tr w:rsidR="00FA6819" w:rsidRPr="00B14937" w14:paraId="4EBD2D6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5A7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s__Lactobacillus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salivarius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00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0.84±1.77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0D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0.06±0.21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4B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3.452(0.001)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A7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0.705(0.594,0.815)</w:t>
            </w:r>
          </w:p>
        </w:tc>
      </w:tr>
      <w:tr w:rsidR="00FA6819" w:rsidRPr="00B14937" w14:paraId="16B2C239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635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s__Streptococcus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mutans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ATCC 25175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BE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0.07±0.12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62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BF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3.433(0.001)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57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0.696(0.584,0.807)</w:t>
            </w:r>
          </w:p>
        </w:tc>
      </w:tr>
      <w:tr w:rsidR="00FA6819" w:rsidRPr="00B14937" w14:paraId="08805987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A94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s__Streptococcus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anginosus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subsp.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anginosus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09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94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30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3.802(0.000)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1E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0.690(0.577,0.802)</w:t>
            </w:r>
          </w:p>
        </w:tc>
      </w:tr>
      <w:tr w:rsidR="00FA6819" w:rsidRPr="00B14937" w14:paraId="2353296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9C7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s__Clostridium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perfringens B str. ATCC 3626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7C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0.18±0.61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FB8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0.04±0.23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AD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3.283(0.001)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34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0.682(0.569,0.795)</w:t>
            </w:r>
          </w:p>
        </w:tc>
      </w:tr>
      <w:tr w:rsidR="00FA6819" w:rsidRPr="00B14937" w14:paraId="420D197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FC06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o__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Burkholderiales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5C34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1.07±5.39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18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0.13±0.21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62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2.660(0.008)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4B7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0.665(0.551,0.778)</w:t>
            </w:r>
          </w:p>
        </w:tc>
      </w:tr>
      <w:tr w:rsidR="00FA6819" w:rsidRPr="00B14937" w14:paraId="5813941F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581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g__Fusobacterium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85F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0.58±1.67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61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0.12±0.56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01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2.650(0.008)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C92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0.661(0.547,0.776)</w:t>
            </w:r>
          </w:p>
        </w:tc>
      </w:tr>
      <w:tr w:rsidR="00FA6819" w:rsidRPr="00B14937" w14:paraId="31068BAE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3BC3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s__Lactobacillus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fermentum F-6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5AC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0.08±0.44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50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E3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3.095(0.002)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31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0.654(0.539,0.770)</w:t>
            </w:r>
          </w:p>
        </w:tc>
      </w:tr>
      <w:tr w:rsidR="00FA6819" w:rsidRPr="00B14937" w14:paraId="7075C6F2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4E5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Anaeroglobus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85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BD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B13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3.113(0.002)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CB4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0.653(0.537,0.768)</w:t>
            </w:r>
          </w:p>
        </w:tc>
      </w:tr>
      <w:tr w:rsidR="00FA6819" w:rsidRPr="00B14937" w14:paraId="5AA89BBF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5DC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Rothia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42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0.06±0.07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AE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0.13±0.54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9A1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2.412(0.016)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5B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0.649(0.533,0.764)</w:t>
            </w:r>
          </w:p>
        </w:tc>
      </w:tr>
      <w:tr w:rsidR="00FA6819" w:rsidRPr="00B14937" w14:paraId="69A15FFB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F1F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Ruminococcaceae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NK4A214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9ED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1.69±3.44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25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0.39±0.88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77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2.207(0.027)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1D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0.636(0.520,0.753)</w:t>
            </w:r>
          </w:p>
        </w:tc>
      </w:tr>
      <w:tr w:rsidR="00FA6819" w:rsidRPr="00B14937" w14:paraId="054E2AB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452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s__Streptococcus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mutans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GS-5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C7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794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4D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2.886(0.004)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BF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0.628(0.511,0.746)</w:t>
            </w:r>
          </w:p>
        </w:tc>
      </w:tr>
      <w:tr w:rsidR="00FA6819" w:rsidRPr="00B14937" w14:paraId="51090FA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A83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Pyramidobacter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piscolens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C6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0.88±3.74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FA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8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2.321(0.020)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C53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0.628(0.510,0.745)</w:t>
            </w:r>
          </w:p>
        </w:tc>
      </w:tr>
      <w:tr w:rsidR="00FA6819" w:rsidRPr="00B14937" w14:paraId="425AE931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A4D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g__Enterobacter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B3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0.63±1.27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94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0.91±3.40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09E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2.073(0.038)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A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0.628(0.509,0.747)</w:t>
            </w:r>
          </w:p>
        </w:tc>
      </w:tr>
      <w:tr w:rsidR="00FA6819" w:rsidRPr="00B14937" w14:paraId="1BC72C56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5A0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s__[Clostridium]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clostridioforme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90A3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964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0.32±0.91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E1C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0.12±0.29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355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2.032(0.042)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3D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0.625(0.508,0.743)</w:t>
            </w:r>
          </w:p>
        </w:tc>
      </w:tr>
      <w:tr w:rsidR="00FA6819" w:rsidRPr="00B14937" w14:paraId="65BA528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A680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Cardiobacterium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C5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CA7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EC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2.673(0.008)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1834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0.623(0.506,0.741)</w:t>
            </w:r>
          </w:p>
        </w:tc>
      </w:tr>
      <w:tr w:rsidR="00FA6819" w:rsidRPr="00B14937" w14:paraId="547EF18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532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Turicibacter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99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0.02±0.07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7A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0.19±0.70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62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2.207(0.027)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96D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0.371(0.254,0.488)</w:t>
            </w:r>
          </w:p>
        </w:tc>
      </w:tr>
      <w:tr w:rsidR="00FA6819" w:rsidRPr="00B14937" w14:paraId="25CD42E4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048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Megamonas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96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D3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1.82±7.55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DBE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2.379(0.017)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F9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0.372(0.254,0.490)</w:t>
            </w:r>
          </w:p>
        </w:tc>
      </w:tr>
      <w:tr w:rsidR="00FA6819" w:rsidRPr="00B14937" w14:paraId="5A9A4E3F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44B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g__[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Ruminococcus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]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gnavus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55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0.30±0.83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6A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0.60±1.24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59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2.198(0.028)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36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0.365(0.249,0.482)</w:t>
            </w:r>
          </w:p>
        </w:tc>
      </w:tr>
      <w:tr w:rsidR="00FA6819" w:rsidRPr="00B14937" w14:paraId="05634BB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093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g__[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Eubacterium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]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ventriosum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18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0.10±0.14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D2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0.23±0.32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0ED4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2.219(0.026)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4D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0.363(0.247,0.479)</w:t>
            </w:r>
          </w:p>
        </w:tc>
      </w:tr>
      <w:tr w:rsidR="00FA6819" w:rsidRPr="00B14937" w14:paraId="2843065A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689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Lachnospira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AE0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0.12±0.25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05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0.26±0.56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FE1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2.267(0.023)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F0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0.360(0.242,0.478)</w:t>
            </w:r>
          </w:p>
        </w:tc>
      </w:tr>
      <w:tr w:rsidR="00FA6819" w:rsidRPr="00B14937" w14:paraId="14D28C03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801D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Tyzzerella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51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0.04±0.13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9E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0.14±0.62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E7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2.631(0.009)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E9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0.358(0.242,0.475)</w:t>
            </w:r>
          </w:p>
        </w:tc>
      </w:tr>
      <w:tr w:rsidR="00FA6819" w:rsidRPr="00B14937" w14:paraId="0AA990F4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0ACE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Faecalibacterium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82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5.83±9.17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DB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9.92±10.14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6B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2.395(0.017)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8A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0.352(0.236,0.468)</w:t>
            </w:r>
          </w:p>
        </w:tc>
      </w:tr>
      <w:tr w:rsidR="00FA6819" w:rsidRPr="00B14937" w14:paraId="13635649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966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Subdoligranulum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6FD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3.86±5.06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76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11.61±15.59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9C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2.529(0.011)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9F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0.343(0.228,0.459)</w:t>
            </w:r>
          </w:p>
        </w:tc>
      </w:tr>
      <w:tr w:rsidR="00FA6819" w:rsidRPr="00B14937" w14:paraId="751C8BF1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AE9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Eggerthella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5E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0.04±0.11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7A1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0.08±0.17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5B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2.607(0.009)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5C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0.343(0.228,0.459)</w:t>
            </w:r>
          </w:p>
        </w:tc>
      </w:tr>
      <w:tr w:rsidR="00FA6819" w:rsidRPr="00B14937" w14:paraId="561AD32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9C87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s__Enterococcus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saccharolyticus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subsp.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saccharolyticus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ATCC 43076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A2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0.03±0.17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DFB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0.16±0.64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2C3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2.921(0.003)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4A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0.339(0.225,0.454)</w:t>
            </w:r>
          </w:p>
        </w:tc>
      </w:tr>
      <w:tr w:rsidR="00FA6819" w:rsidRPr="00B14937" w14:paraId="14746388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FE6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Erysipelotrichaceae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UCG-003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807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0.44±0.94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37D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0.45±0.56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E2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2.567(0.010)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59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0.341(0.224,0.459)</w:t>
            </w:r>
          </w:p>
        </w:tc>
      </w:tr>
      <w:tr w:rsidR="00FA6819" w:rsidRPr="00B14937" w14:paraId="1645B891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146C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Blautia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00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2.39±2.14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2D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3.44±2.49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E2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2.650(0.008)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D84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0.336(0.222,0.450)</w:t>
            </w:r>
          </w:p>
        </w:tc>
      </w:tr>
      <w:tr w:rsidR="00FA6819" w:rsidRPr="00B14937" w14:paraId="0E55E73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2ED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Flavonifractor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62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0.05±0.10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28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0.34±0.98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03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2.768(0.006)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33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0.329(0.217,0.442)</w:t>
            </w:r>
          </w:p>
        </w:tc>
      </w:tr>
      <w:tr w:rsidR="00FA6819" w:rsidRPr="00B14937" w14:paraId="22805586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D85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Lachnospiraceae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NK4A136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9D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0.52±1.14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11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1.47±2.59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4C2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2.742(0.006)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6C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0.330(0.215,0.445)</w:t>
            </w:r>
          </w:p>
        </w:tc>
      </w:tr>
      <w:tr w:rsidR="00FA6819" w:rsidRPr="00B14937" w14:paraId="668159D0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15C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g__[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Eubacterium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]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hallii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AB6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1.24±2.24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FF8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1.69±1.75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AD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2.804(0.005)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C8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0.326(0.211,0.442)</w:t>
            </w:r>
          </w:p>
        </w:tc>
      </w:tr>
      <w:tr w:rsidR="00FA6819" w:rsidRPr="00B14937" w14:paraId="4F5E179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F0C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Asaccharobacter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celatus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93D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0.06±0.18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74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0.27±0.47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AC4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2.933(0.003)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F13B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0.323(0.207,0.439)</w:t>
            </w:r>
          </w:p>
        </w:tc>
      </w:tr>
      <w:tr w:rsidR="00FA6819" w:rsidRPr="00B14937" w14:paraId="0B2D8D55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7D5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Ruminiclostridium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04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0.14±0.25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A5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0.25±0.33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57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3.010(0.003)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82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0.314(0.203,0.424)</w:t>
            </w:r>
          </w:p>
        </w:tc>
      </w:tr>
      <w:tr w:rsidR="00FA6819" w:rsidRPr="00B14937" w14:paraId="62D84E66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096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lastRenderedPageBreak/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Intestinibacter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8D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0.59±0.95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F31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2.79±7.16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DA8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3.080(0.002)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2AB5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0.309(0.200,0.419)</w:t>
            </w:r>
          </w:p>
        </w:tc>
      </w:tr>
      <w:tr w:rsidR="00FA6819" w:rsidRPr="00B14937" w14:paraId="46ACC0D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876F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Gordonibacter</w:t>
            </w:r>
            <w:proofErr w:type="spellEnd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pamelaeae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1C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0.00±0.01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87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4769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3.342(0.001)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5A3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0.308(0.196,0.420)</w:t>
            </w:r>
          </w:p>
        </w:tc>
      </w:tr>
      <w:tr w:rsidR="00FA6819" w:rsidRPr="00B14937" w14:paraId="0585BB68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492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Terrisporobacter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E4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0.03±0.07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96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0.20±0.67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877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3.395(0.001)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6BC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0.293(0.184,0.403)</w:t>
            </w:r>
          </w:p>
        </w:tc>
      </w:tr>
      <w:tr w:rsidR="00FA6819" w:rsidRPr="00B14937" w14:paraId="7BE27F0C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7D7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Anaerostipes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F2C0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0.36±1.07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C1A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0.85±1.01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CEC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3.556(0.000)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B1D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0.280(0.171,0.389)</w:t>
            </w:r>
          </w:p>
        </w:tc>
      </w:tr>
      <w:tr w:rsidR="00FA6819" w:rsidRPr="00B14937" w14:paraId="24101D13" w14:textId="77777777" w:rsidTr="00520FC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58E" w14:textId="77777777" w:rsidR="00FA6819" w:rsidRPr="00B14937" w:rsidRDefault="00FA6819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Romboutsia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EB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0.01±0.02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EC0F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0.17±0.50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386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4.377(0.000)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10E" w14:textId="77777777" w:rsidR="00FA6819" w:rsidRPr="00B14937" w:rsidRDefault="00FA6819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B14937">
              <w:rPr>
                <w:rFonts w:ascii="Times New Roman" w:hAnsi="Times New Roman"/>
                <w:kern w:val="0"/>
                <w:sz w:val="15"/>
                <w:szCs w:val="15"/>
              </w:rPr>
              <w:t>0.236(0.136,0.336)</w:t>
            </w:r>
          </w:p>
        </w:tc>
      </w:tr>
    </w:tbl>
    <w:p w14:paraId="589CA5FC" w14:textId="77777777" w:rsidR="009855E7" w:rsidRPr="00FA6819" w:rsidRDefault="009855E7"/>
    <w:sectPr w:rsidR="009855E7" w:rsidRPr="00FA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22F6" w14:textId="77777777" w:rsidR="004105A3" w:rsidRDefault="004105A3" w:rsidP="00FA6819">
      <w:r>
        <w:separator/>
      </w:r>
    </w:p>
  </w:endnote>
  <w:endnote w:type="continuationSeparator" w:id="0">
    <w:p w14:paraId="48EA7BE1" w14:textId="77777777" w:rsidR="004105A3" w:rsidRDefault="004105A3" w:rsidP="00F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C5F8" w14:textId="77777777" w:rsidR="004105A3" w:rsidRDefault="004105A3" w:rsidP="00FA6819">
      <w:r>
        <w:separator/>
      </w:r>
    </w:p>
  </w:footnote>
  <w:footnote w:type="continuationSeparator" w:id="0">
    <w:p w14:paraId="73F5A3B4" w14:textId="77777777" w:rsidR="004105A3" w:rsidRDefault="004105A3" w:rsidP="00FA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E7"/>
    <w:rsid w:val="004105A3"/>
    <w:rsid w:val="009855E7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2677"/>
  <w15:chartTrackingRefBased/>
  <w15:docId w15:val="{428EB5A3-E07B-47F1-964D-1F779DC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819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8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2019-03-19T03:27:00Z</dcterms:created>
  <dcterms:modified xsi:type="dcterms:W3CDTF">2019-03-19T03:28:00Z</dcterms:modified>
</cp:coreProperties>
</file>