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73" w:rsidRDefault="00D01673" w:rsidP="00D01673">
      <w:pPr>
        <w:pStyle w:val="Didascalia"/>
      </w:pPr>
      <w:r w:rsidRPr="00370B53">
        <w:rPr>
          <w:noProof/>
          <w:lang w:val="it-IT" w:eastAsia="it-IT"/>
        </w:rPr>
        <w:drawing>
          <wp:inline distT="0" distB="0" distL="0" distR="0" wp14:anchorId="5ECE647A" wp14:editId="2EF17D47">
            <wp:extent cx="5727700" cy="5332686"/>
            <wp:effectExtent l="0" t="0" r="6350" b="1905"/>
            <wp:docPr id="4" name="Immagine 4" descr="E:\INGV\Lav_modello_Suio\Nuovo\Figure\Perme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GV\Lav_modello_Suio\Nuovo\Figure\Permeabi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73" w:rsidRPr="002D4382" w:rsidRDefault="00D01673" w:rsidP="00D01673">
      <w:pPr>
        <w:pStyle w:val="Didascalia"/>
      </w:pPr>
      <w:r>
        <w:t>Figure S1: Assumed permeability distribution inside the CC complex. The other complexes have an isotropic permeability of 1x10</w:t>
      </w:r>
      <w:r w:rsidRPr="00370B53">
        <w:rPr>
          <w:vertAlign w:val="superscript"/>
        </w:rPr>
        <w:t>-12</w:t>
      </w:r>
      <w:r>
        <w:t xml:space="preserve"> m</w:t>
      </w:r>
      <w:r w:rsidRPr="00370B53">
        <w:rPr>
          <w:vertAlign w:val="superscript"/>
        </w:rPr>
        <w:t>2</w:t>
      </w:r>
      <w:r>
        <w:t xml:space="preserve">. a) </w:t>
      </w:r>
      <w:r w:rsidR="00387F26">
        <w:t>Horizontal</w:t>
      </w:r>
      <w:r>
        <w:t xml:space="preserve"> permeability (</w:t>
      </w:r>
      <w:r w:rsidRPr="00370B53">
        <w:rPr>
          <w:rFonts w:ascii="Symbol" w:hAnsi="Symbol"/>
        </w:rPr>
        <w:t></w:t>
      </w:r>
      <w:r w:rsidRPr="00370B53">
        <w:rPr>
          <w:vertAlign w:val="subscript"/>
        </w:rPr>
        <w:t>xx</w:t>
      </w:r>
      <w:r>
        <w:t>); b) vertical permeability (</w:t>
      </w:r>
      <w:r w:rsidRPr="00370B53">
        <w:rPr>
          <w:rFonts w:ascii="Symbol" w:hAnsi="Symbol"/>
        </w:rPr>
        <w:t></w:t>
      </w:r>
      <w:proofErr w:type="spellStart"/>
      <w:r>
        <w:rPr>
          <w:vertAlign w:val="subscript"/>
        </w:rPr>
        <w:t>yy</w:t>
      </w:r>
      <w:proofErr w:type="spellEnd"/>
      <w:r>
        <w:t>).</w:t>
      </w:r>
    </w:p>
    <w:p w:rsidR="00387F26" w:rsidRDefault="00387F26">
      <w:pPr>
        <w:rPr>
          <w:lang w:val="en-GB"/>
        </w:rPr>
      </w:pPr>
      <w:r>
        <w:rPr>
          <w:lang w:val="en-GB"/>
        </w:rPr>
        <w:br w:type="page"/>
      </w:r>
    </w:p>
    <w:p w:rsidR="00387F26" w:rsidRDefault="00EA110D" w:rsidP="00387F26">
      <w:pPr>
        <w:pStyle w:val="Didascalia"/>
      </w:pPr>
      <w:r w:rsidRPr="00EA110D">
        <w:rPr>
          <w:noProof/>
          <w:lang w:val="it-IT" w:eastAsia="it-IT"/>
        </w:rPr>
        <w:lastRenderedPageBreak/>
        <w:drawing>
          <wp:inline distT="0" distB="0" distL="0" distR="0">
            <wp:extent cx="6120130" cy="5447484"/>
            <wp:effectExtent l="0" t="0" r="0" b="1270"/>
            <wp:docPr id="1" name="Immagine 1" descr="E:\INGV\Lav_modello_Suio\Nuovo\Figure\Figure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GV\Lav_modello_Suio\Nuovo\Figure\Figure_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26" w:rsidRPr="002D4382" w:rsidRDefault="00387F26" w:rsidP="00387F26">
      <w:pPr>
        <w:pStyle w:val="Didascalia"/>
      </w:pPr>
      <w:r>
        <w:t xml:space="preserve">Figure S2: </w:t>
      </w:r>
      <w:r w:rsidR="00EA110D">
        <w:t xml:space="preserve">Comparison between the modelled temperatures of Figure 8a and the values estimated </w:t>
      </w:r>
      <w:r w:rsidR="00A359F8">
        <w:t xml:space="preserve">at 1000 (a), 2000 (b) and 3000 (c) meters below the sea level by </w:t>
      </w:r>
      <w:proofErr w:type="spellStart"/>
      <w:r w:rsidR="00A359F8">
        <w:t>Cataldi</w:t>
      </w:r>
      <w:proofErr w:type="spellEnd"/>
      <w:r w:rsidR="00A359F8">
        <w:t xml:space="preserve"> et al. [2] (</w:t>
      </w:r>
      <w:r w:rsidR="00A359F8" w:rsidRPr="000D4FE2">
        <w:t xml:space="preserve">available </w:t>
      </w:r>
      <w:r w:rsidR="00A359F8" w:rsidRPr="000D4FE2">
        <w:rPr>
          <w:noProof/>
        </w:rPr>
        <w:t>at</w:t>
      </w:r>
      <w:r w:rsidR="000D4FE2" w:rsidRPr="000D4FE2">
        <w:rPr>
          <w:noProof/>
        </w:rPr>
        <w:t>:</w:t>
      </w:r>
      <w:r w:rsidR="000D4FE2">
        <w:t xml:space="preserve"> </w:t>
      </w:r>
      <w:r w:rsidR="000D4FE2" w:rsidRPr="000D4FE2">
        <w:t>https://unmig.mise.gov.it/index.php/it/dati/altr</w:t>
      </w:r>
      <w:bookmarkStart w:id="0" w:name="_GoBack"/>
      <w:bookmarkEnd w:id="0"/>
      <w:r w:rsidR="000D4FE2" w:rsidRPr="000D4FE2">
        <w:t>e-attivita/risorse-geotermiche</w:t>
      </w:r>
      <w:r w:rsidR="000D4FE2">
        <w:t>)</w:t>
      </w:r>
    </w:p>
    <w:p w:rsidR="003F0F1E" w:rsidRPr="00D01673" w:rsidRDefault="003F0F1E" w:rsidP="00387F26">
      <w:pPr>
        <w:rPr>
          <w:lang w:val="en-GB"/>
        </w:rPr>
      </w:pPr>
    </w:p>
    <w:sectPr w:rsidR="003F0F1E" w:rsidRPr="00D0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EztzCxNDIyNTRX0lEKTi0uzszPAykwrgUAjfplcSwAAAA="/>
  </w:docVars>
  <w:rsids>
    <w:rsidRoot w:val="00D01673"/>
    <w:rsid w:val="000D4FE2"/>
    <w:rsid w:val="00387F26"/>
    <w:rsid w:val="003F0F1E"/>
    <w:rsid w:val="006C0B3A"/>
    <w:rsid w:val="00A359F8"/>
    <w:rsid w:val="00D01673"/>
    <w:rsid w:val="00EA110D"/>
    <w:rsid w:val="00E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23C8"/>
  <w15:chartTrackingRefBased/>
  <w15:docId w15:val="{726062FB-DF07-48B4-939E-EB9B1CE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01673"/>
    <w:pPr>
      <w:spacing w:after="80" w:line="240" w:lineRule="auto"/>
      <w:jc w:val="center"/>
    </w:pPr>
    <w:rPr>
      <w:rFonts w:ascii="Times New Roman" w:hAnsi="Times New Roman" w:cs="Times New Roman"/>
      <w:iCs/>
      <w:color w:val="000000" w:themeColor="text1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Albano</dc:creator>
  <cp:keywords/>
  <dc:description/>
  <cp:lastModifiedBy>Matteo Albano</cp:lastModifiedBy>
  <cp:revision>5</cp:revision>
  <dcterms:created xsi:type="dcterms:W3CDTF">2019-01-09T16:24:00Z</dcterms:created>
  <dcterms:modified xsi:type="dcterms:W3CDTF">2019-01-18T10:48:00Z</dcterms:modified>
</cp:coreProperties>
</file>