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C3" w:rsidRPr="00D866CF" w:rsidRDefault="00227FC3" w:rsidP="00227FC3">
      <w:pPr>
        <w:pStyle w:val="2"/>
        <w:rPr>
          <w:lang w:val="en-US"/>
        </w:rPr>
      </w:pPr>
      <w:r w:rsidRPr="00D866CF">
        <w:rPr>
          <w:lang w:val="en-US"/>
        </w:rPr>
        <w:t>Supplementary Materials</w:t>
      </w:r>
    </w:p>
    <w:p w:rsidR="00227FC3" w:rsidRPr="00D866CF" w:rsidRDefault="00227FC3" w:rsidP="00227FC3">
      <w:pPr>
        <w:rPr>
          <w:lang w:val="en-US"/>
        </w:rPr>
      </w:pPr>
      <w:r w:rsidRPr="00D866CF">
        <w:rPr>
          <w:lang w:val="en-US"/>
        </w:rPr>
        <w:t>The Harris</w:t>
      </w:r>
      <w:r>
        <w:rPr>
          <w:lang w:val="en-US"/>
        </w:rPr>
        <w:t>-</w:t>
      </w:r>
      <w:proofErr w:type="spellStart"/>
      <w:r w:rsidRPr="00D866CF">
        <w:rPr>
          <w:lang w:val="en-US"/>
        </w:rPr>
        <w:t>Priester</w:t>
      </w:r>
      <w:proofErr w:type="spellEnd"/>
      <w:r w:rsidRPr="00D866CF">
        <w:rPr>
          <w:rFonts w:eastAsiaTheme="minorEastAsia"/>
          <w:lang w:val="en-US" w:eastAsia="zh-CN"/>
        </w:rPr>
        <w:t xml:space="preserve"> (HP)</w:t>
      </w:r>
      <w:r w:rsidRPr="00D866CF">
        <w:rPr>
          <w:lang w:val="en-US"/>
        </w:rPr>
        <w:t xml:space="preserve"> model is based on the properties of the upper atmosphere determined using the solution of the heat conduction equation under quasi-hydrostatic conditions. While neglecting the explicit dependence of semi-annual and seasonal latitude variations, it has been extended to consider the diurnal density bulge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_Ref499687536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_Ref530758988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[2]</w:t>
      </w:r>
      <w:r>
        <w:rPr>
          <w:lang w:val="en-US"/>
        </w:rPr>
        <w:fldChar w:fldCharType="end"/>
      </w:r>
      <w:bookmarkStart w:id="0" w:name="_GoBack"/>
      <w:bookmarkEnd w:id="0"/>
      <w:r w:rsidRPr="00D866CF">
        <w:rPr>
          <w:lang w:val="en-US"/>
        </w:rPr>
        <w:t>:</w:t>
      </w:r>
    </w:p>
    <w:p w:rsidR="00227FC3" w:rsidRPr="00D866CF" w:rsidRDefault="00227FC3" w:rsidP="00227FC3">
      <w:pPr>
        <w:jc w:val="right"/>
        <w:rPr>
          <w:lang w:val="en-US"/>
        </w:rPr>
      </w:pPr>
      <w:r w:rsidRPr="00D866CF">
        <w:rPr>
          <w:lang w:val="en-US"/>
        </w:rPr>
        <w:tab/>
      </w:r>
      <w:r w:rsidRPr="00D866CF">
        <w:rPr>
          <w:position w:val="-28"/>
          <w:lang w:val="en-US"/>
        </w:rPr>
        <w:object w:dxaOrig="47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7.75pt;height:39.7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04501030" r:id="rId7"/>
        </w:object>
      </w:r>
      <w:r w:rsidRPr="00D866CF">
        <w:rPr>
          <w:lang w:val="en-US"/>
        </w:rPr>
        <w:t xml:space="preserve"> </w:t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MACROBUTTON MTPlaceRef \* MERGEFORMAT 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\h \* MERGEFORMAT 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(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\c \* Arabic \* MERGEFORMAT </w:instrText>
      </w:r>
      <w:r w:rsidRPr="00D866CF">
        <w:rPr>
          <w:lang w:val="en-US"/>
        </w:rPr>
        <w:fldChar w:fldCharType="separate"/>
      </w:r>
      <w:r>
        <w:rPr>
          <w:noProof/>
          <w:lang w:val="en-US"/>
        </w:rPr>
        <w:instrText>1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)</w:instrText>
      </w:r>
      <w:r w:rsidRPr="00D866CF">
        <w:rPr>
          <w:lang w:val="en-US"/>
        </w:rPr>
        <w:fldChar w:fldCharType="end"/>
      </w:r>
    </w:p>
    <w:p w:rsidR="00227FC3" w:rsidRPr="00D866CF" w:rsidRDefault="00227FC3" w:rsidP="00227FC3">
      <w:pPr>
        <w:rPr>
          <w:lang w:val="en-US"/>
        </w:rPr>
      </w:pPr>
      <w:r>
        <w:rPr>
          <w:lang w:val="en-US"/>
        </w:rPr>
        <w:t>W</w:t>
      </w:r>
      <w:r w:rsidRPr="00D866CF">
        <w:rPr>
          <w:lang w:val="en-US"/>
        </w:rPr>
        <w:t>here</w:t>
      </w:r>
      <w:r>
        <w:rPr>
          <w:rFonts w:eastAsiaTheme="minorEastAsia" w:hint="eastAsia"/>
          <w:lang w:val="en-US" w:eastAsia="zh-CN"/>
        </w:rPr>
        <w:t xml:space="preserve"> </w:t>
      </w:r>
      <w:r w:rsidRPr="00A459FF">
        <w:rPr>
          <w:rFonts w:eastAsiaTheme="minorEastAsia"/>
          <w:position w:val="-12"/>
          <w:lang w:val="en-US" w:eastAsia="zh-CN"/>
        </w:rPr>
        <w:object w:dxaOrig="240" w:dyaOrig="360">
          <v:shape id="_x0000_i1026" type="#_x0000_t75" style="width:12pt;height:18pt" o:ole="">
            <v:imagedata r:id="rId8" o:title=""/>
          </v:shape>
          <o:OLEObject Type="Embed" ProgID="Equation.DSMT4" ShapeID="_x0000_i1026" DrawAspect="Content" ObjectID="_1604501031" r:id="rId9"/>
        </w:object>
      </w:r>
      <w:r>
        <w:rPr>
          <w:rFonts w:eastAsiaTheme="minorEastAsia"/>
          <w:lang w:val="en-US" w:eastAsia="zh-CN"/>
        </w:rPr>
        <w:t xml:space="preserve"> </w:t>
      </w:r>
      <w:r w:rsidRPr="00D866CF">
        <w:rPr>
          <w:lang w:val="en-US"/>
        </w:rPr>
        <w:t>and</w:t>
      </w:r>
      <w:r w:rsidRPr="00D866CF">
        <w:rPr>
          <w:rFonts w:eastAsiaTheme="minorEastAsia"/>
          <w:lang w:val="en-US" w:eastAsia="zh-CN"/>
        </w:rPr>
        <w:t xml:space="preserve"> </w:t>
      </w:r>
      <w:r w:rsidRPr="00D866CF">
        <w:rPr>
          <w:position w:val="-12"/>
          <w:lang w:val="en-US"/>
        </w:rPr>
        <w:object w:dxaOrig="279" w:dyaOrig="360">
          <v:shape id="_x0000_i1027" type="#_x0000_t75" alt="" style="width:14.25pt;height:18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04501032" r:id="rId11"/>
        </w:object>
      </w:r>
      <w:r w:rsidRPr="00D866CF">
        <w:rPr>
          <w:lang w:val="en-US"/>
        </w:rPr>
        <w:t xml:space="preserve"> are the unit position vector of the satellite and the unit vector to the apex of the diurnal vector, respectively; </w:t>
      </w:r>
      <w:r w:rsidRPr="00A459FF">
        <w:rPr>
          <w:position w:val="-14"/>
          <w:lang w:val="en-US"/>
        </w:rPr>
        <w:object w:dxaOrig="680" w:dyaOrig="400">
          <v:shape id="_x0000_i1028" type="#_x0000_t75" style="width:33.75pt;height:20.25pt" o:ole="">
            <v:imagedata r:id="rId12" o:title=""/>
          </v:shape>
          <o:OLEObject Type="Embed" ProgID="Equation.DSMT4" ShapeID="_x0000_i1028" DrawAspect="Content" ObjectID="_1604501033" r:id="rId13"/>
        </w:object>
      </w:r>
      <w:r w:rsidRPr="00D866CF">
        <w:rPr>
          <w:lang w:val="en-US"/>
        </w:rPr>
        <w:t xml:space="preserve"> and</w:t>
      </w:r>
      <w:r>
        <w:rPr>
          <w:rFonts w:eastAsiaTheme="minorEastAsia" w:hint="eastAsia"/>
          <w:lang w:val="en-US" w:eastAsia="zh-CN"/>
        </w:rPr>
        <w:t xml:space="preserve"> </w:t>
      </w:r>
      <w:r w:rsidRPr="00A459FF">
        <w:rPr>
          <w:rFonts w:eastAsiaTheme="minorEastAsia"/>
          <w:position w:val="-14"/>
          <w:lang w:val="en-US" w:eastAsia="zh-CN"/>
        </w:rPr>
        <w:object w:dxaOrig="720" w:dyaOrig="400">
          <v:shape id="_x0000_i1029" type="#_x0000_t75" style="width:36pt;height:20.25pt" o:ole="">
            <v:imagedata r:id="rId14" o:title=""/>
          </v:shape>
          <o:OLEObject Type="Embed" ProgID="Equation.DSMT4" ShapeID="_x0000_i1029" DrawAspect="Content" ObjectID="_1604501034" r:id="rId15"/>
        </w:object>
      </w:r>
      <w:r w:rsidRPr="00A459FF">
        <w:rPr>
          <w:lang w:val="en-US"/>
        </w:rPr>
        <w:t xml:space="preserve"> </w:t>
      </w:r>
      <w:r w:rsidRPr="00D866CF">
        <w:rPr>
          <w:lang w:val="en-US"/>
        </w:rPr>
        <w:t xml:space="preserve"> are the </w:t>
      </w:r>
      <w:proofErr w:type="spellStart"/>
      <w:r w:rsidRPr="00D866CF">
        <w:rPr>
          <w:lang w:val="en-US"/>
        </w:rPr>
        <w:t>antapex</w:t>
      </w:r>
      <w:proofErr w:type="spellEnd"/>
      <w:r w:rsidRPr="00D866CF">
        <w:rPr>
          <w:lang w:val="en-US"/>
        </w:rPr>
        <w:t xml:space="preserve"> density and the apex density at a given height h, and are respectively calculated using:</w:t>
      </w:r>
    </w:p>
    <w:p w:rsidR="00227FC3" w:rsidRPr="00D866CF" w:rsidRDefault="00227FC3" w:rsidP="00227FC3">
      <w:pPr>
        <w:jc w:val="right"/>
        <w:rPr>
          <w:lang w:val="en-US"/>
        </w:rPr>
      </w:pPr>
      <w:r w:rsidRPr="00D866CF">
        <w:rPr>
          <w:lang w:val="en-US"/>
        </w:rPr>
        <w:tab/>
      </w:r>
      <w:r w:rsidRPr="00D866CF">
        <w:rPr>
          <w:position w:val="-70"/>
          <w:lang w:val="en-US"/>
        </w:rPr>
        <w:object w:dxaOrig="2840" w:dyaOrig="1520">
          <v:shape id="_x0000_i1030" type="#_x0000_t75" alt="" style="width:2in;height:78.75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04501035" r:id="rId17"/>
        </w:object>
      </w:r>
      <w:r w:rsidRPr="00D866CF">
        <w:rPr>
          <w:lang w:val="en-US"/>
        </w:rPr>
        <w:t xml:space="preserve"> </w:t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MACROBUTTON MTPlaceRef \* MERGEFORMAT 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\h \* MERGEFORMAT 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(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\c \* Arabic \* MERGEFORMAT </w:instrText>
      </w:r>
      <w:r w:rsidRPr="00D866CF">
        <w:rPr>
          <w:lang w:val="en-US"/>
        </w:rPr>
        <w:fldChar w:fldCharType="separate"/>
      </w:r>
      <w:r>
        <w:rPr>
          <w:noProof/>
          <w:lang w:val="en-US"/>
        </w:rPr>
        <w:instrText>2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)</w:instrText>
      </w:r>
      <w:r w:rsidRPr="00D866CF">
        <w:rPr>
          <w:lang w:val="en-US"/>
        </w:rPr>
        <w:fldChar w:fldCharType="end"/>
      </w:r>
    </w:p>
    <w:p w:rsidR="00227FC3" w:rsidRPr="00D866CF" w:rsidRDefault="00227FC3" w:rsidP="00227FC3">
      <w:pPr>
        <w:rPr>
          <w:lang w:val="en-US"/>
        </w:rPr>
      </w:pPr>
      <w:proofErr w:type="gramStart"/>
      <w:r w:rsidRPr="00D866CF">
        <w:rPr>
          <w:lang w:val="en-US"/>
        </w:rPr>
        <w:t>where</w:t>
      </w:r>
      <w:proofErr w:type="gramEnd"/>
      <w:r w:rsidRPr="00D866CF">
        <w:rPr>
          <w:lang w:val="en-US"/>
        </w:rPr>
        <w:t xml:space="preserve"> </w:t>
      </w:r>
      <w:r w:rsidRPr="00D866CF">
        <w:rPr>
          <w:position w:val="-6"/>
          <w:lang w:val="en-US"/>
        </w:rPr>
        <w:object w:dxaOrig="200" w:dyaOrig="279">
          <v:shape id="_x0000_i1031" type="#_x0000_t75" alt="" style="width:11.25pt;height:14.2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04501036" r:id="rId19"/>
        </w:object>
      </w:r>
      <w:r w:rsidRPr="00D866CF">
        <w:rPr>
          <w:lang w:val="en-US"/>
        </w:rPr>
        <w:t xml:space="preserve"> satisfies </w:t>
      </w:r>
      <w:r w:rsidRPr="00D866CF">
        <w:rPr>
          <w:position w:val="-12"/>
          <w:lang w:val="en-US"/>
        </w:rPr>
        <w:object w:dxaOrig="1140" w:dyaOrig="360">
          <v:shape id="_x0000_i1032" type="#_x0000_t75" alt="" style="width:57.75pt;height:21.7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04501037" r:id="rId21"/>
        </w:object>
      </w:r>
      <w:r w:rsidRPr="00D866CF">
        <w:rPr>
          <w:lang w:val="en-US"/>
        </w:rPr>
        <w:t>, and</w:t>
      </w:r>
    </w:p>
    <w:p w:rsidR="00227FC3" w:rsidRPr="00D866CF" w:rsidRDefault="00227FC3" w:rsidP="00227FC3">
      <w:pPr>
        <w:jc w:val="right"/>
        <w:rPr>
          <w:rFonts w:eastAsiaTheme="minorEastAsia"/>
          <w:lang w:val="en-US" w:eastAsia="zh-CN"/>
        </w:rPr>
      </w:pPr>
      <w:r w:rsidRPr="00D866CF">
        <w:rPr>
          <w:lang w:val="en-US"/>
        </w:rPr>
        <w:tab/>
      </w:r>
      <w:r w:rsidRPr="00D866CF">
        <w:rPr>
          <w:position w:val="-66"/>
          <w:lang w:val="en-US"/>
        </w:rPr>
        <w:object w:dxaOrig="3080" w:dyaOrig="1440">
          <v:shape id="_x0000_i1033" type="#_x0000_t75" alt="" style="width:151.5pt;height:1in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04501038" r:id="rId23"/>
        </w:object>
      </w:r>
      <w:r w:rsidRPr="00D866CF">
        <w:rPr>
          <w:lang w:val="en-US"/>
        </w:rPr>
        <w:t xml:space="preserve"> </w:t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tab/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MACROBUTTON MTPlaceRef \* MERGEFORMAT 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\h \* MERGEFORMAT 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(</w:instrText>
      </w:r>
      <w:r w:rsidRPr="00D866CF">
        <w:rPr>
          <w:lang w:val="en-US"/>
        </w:rPr>
        <w:fldChar w:fldCharType="begin"/>
      </w:r>
      <w:r w:rsidRPr="00D866CF">
        <w:rPr>
          <w:lang w:val="en-US"/>
        </w:rPr>
        <w:instrText xml:space="preserve"> SEQ MTEqn \c \* Arabic \* MERGEFORMAT </w:instrText>
      </w:r>
      <w:r w:rsidRPr="00D866CF">
        <w:rPr>
          <w:lang w:val="en-US"/>
        </w:rPr>
        <w:fldChar w:fldCharType="separate"/>
      </w:r>
      <w:r>
        <w:rPr>
          <w:noProof/>
          <w:lang w:val="en-US"/>
        </w:rPr>
        <w:instrText>3</w:instrText>
      </w:r>
      <w:r w:rsidRPr="00D866CF">
        <w:rPr>
          <w:lang w:val="en-US"/>
        </w:rPr>
        <w:fldChar w:fldCharType="end"/>
      </w:r>
      <w:r w:rsidRPr="00D866CF">
        <w:rPr>
          <w:lang w:val="en-US"/>
        </w:rPr>
        <w:instrText>)</w:instrText>
      </w:r>
      <w:r w:rsidRPr="00D866CF">
        <w:rPr>
          <w:lang w:val="en-US"/>
        </w:rPr>
        <w:fldChar w:fldCharType="end"/>
      </w:r>
    </w:p>
    <w:p w:rsidR="00227FC3" w:rsidRPr="00D866CF" w:rsidRDefault="00227FC3" w:rsidP="00227FC3">
      <w:pPr>
        <w:rPr>
          <w:rFonts w:eastAsiaTheme="minorEastAsia"/>
          <w:lang w:val="en-US" w:eastAsia="zh-CN"/>
        </w:rPr>
      </w:pPr>
    </w:p>
    <w:p w:rsidR="00227FC3" w:rsidRPr="00227FC3" w:rsidRDefault="00227FC3" w:rsidP="00227FC3">
      <w:pPr>
        <w:numPr>
          <w:ilvl w:val="0"/>
          <w:numId w:val="1"/>
        </w:numPr>
        <w:adjustRightInd w:val="0"/>
        <w:snapToGrid w:val="0"/>
        <w:spacing w:line="220" w:lineRule="exact"/>
        <w:rPr>
          <w:rFonts w:hint="eastAsia"/>
          <w:sz w:val="20"/>
          <w:szCs w:val="16"/>
          <w:lang w:val="en-US"/>
        </w:rPr>
      </w:pPr>
      <w:bookmarkStart w:id="1" w:name="_Ref499687536"/>
      <w:r w:rsidRPr="00D866CF">
        <w:rPr>
          <w:sz w:val="20"/>
          <w:szCs w:val="16"/>
          <w:lang w:val="en-US"/>
        </w:rPr>
        <w:t>O</w:t>
      </w:r>
      <w:r>
        <w:rPr>
          <w:sz w:val="20"/>
          <w:szCs w:val="16"/>
          <w:lang w:val="en-US"/>
        </w:rPr>
        <w:t>.</w:t>
      </w:r>
      <w:r w:rsidRPr="00D866CF">
        <w:rPr>
          <w:sz w:val="20"/>
          <w:szCs w:val="16"/>
          <w:lang w:val="en-US"/>
        </w:rPr>
        <w:t xml:space="preserve"> </w:t>
      </w:r>
      <w:proofErr w:type="spellStart"/>
      <w:r w:rsidRPr="00D866CF">
        <w:rPr>
          <w:sz w:val="20"/>
          <w:szCs w:val="16"/>
          <w:lang w:val="en-US"/>
        </w:rPr>
        <w:t>Montenbruck</w:t>
      </w:r>
      <w:proofErr w:type="spellEnd"/>
      <w:r>
        <w:rPr>
          <w:sz w:val="20"/>
          <w:szCs w:val="16"/>
          <w:lang w:val="en-US"/>
        </w:rPr>
        <w:t>,</w:t>
      </w:r>
      <w:r w:rsidRPr="00FE63A9">
        <w:rPr>
          <w:sz w:val="20"/>
          <w:szCs w:val="16"/>
          <w:lang w:val="en-US"/>
        </w:rPr>
        <w:t xml:space="preserve"> </w:t>
      </w:r>
      <w:r w:rsidRPr="00D866CF">
        <w:rPr>
          <w:sz w:val="20"/>
          <w:szCs w:val="16"/>
          <w:lang w:val="en-US"/>
        </w:rPr>
        <w:t>E</w:t>
      </w:r>
      <w:r>
        <w:rPr>
          <w:sz w:val="20"/>
          <w:szCs w:val="16"/>
          <w:lang w:val="en-US"/>
        </w:rPr>
        <w:t xml:space="preserve">. </w:t>
      </w:r>
      <w:r w:rsidRPr="00D866CF">
        <w:rPr>
          <w:sz w:val="20"/>
          <w:szCs w:val="16"/>
          <w:lang w:val="en-US"/>
        </w:rPr>
        <w:t xml:space="preserve">Gill. Satellite orbits: </w:t>
      </w:r>
      <w:r>
        <w:rPr>
          <w:sz w:val="20"/>
          <w:szCs w:val="16"/>
          <w:lang w:val="en-US"/>
        </w:rPr>
        <w:t>M</w:t>
      </w:r>
      <w:r w:rsidRPr="00D866CF">
        <w:rPr>
          <w:sz w:val="20"/>
          <w:szCs w:val="16"/>
          <w:lang w:val="en-US"/>
        </w:rPr>
        <w:t>odels, methods, and applications. Berlin: Springer; 2000.</w:t>
      </w:r>
      <w:bookmarkEnd w:id="1"/>
    </w:p>
    <w:p w:rsidR="00227FC3" w:rsidRPr="00D866CF" w:rsidRDefault="00227FC3" w:rsidP="00227FC3">
      <w:pPr>
        <w:numPr>
          <w:ilvl w:val="0"/>
          <w:numId w:val="1"/>
        </w:numPr>
        <w:adjustRightInd w:val="0"/>
        <w:snapToGrid w:val="0"/>
        <w:spacing w:line="220" w:lineRule="exact"/>
        <w:rPr>
          <w:sz w:val="20"/>
          <w:szCs w:val="16"/>
          <w:lang w:val="en-US"/>
        </w:rPr>
      </w:pPr>
      <w:bookmarkStart w:id="2" w:name="_Ref530758988"/>
      <w:r w:rsidRPr="00227FC3">
        <w:rPr>
          <w:sz w:val="20"/>
          <w:szCs w:val="16"/>
          <w:lang w:val="en-US"/>
        </w:rPr>
        <w:t xml:space="preserve">I. Harris, W. </w:t>
      </w:r>
      <w:proofErr w:type="spellStart"/>
      <w:r w:rsidRPr="00227FC3">
        <w:rPr>
          <w:sz w:val="20"/>
          <w:szCs w:val="16"/>
          <w:lang w:val="en-US"/>
        </w:rPr>
        <w:t>Priester</w:t>
      </w:r>
      <w:proofErr w:type="spellEnd"/>
      <w:r w:rsidRPr="00227FC3">
        <w:rPr>
          <w:sz w:val="20"/>
          <w:szCs w:val="16"/>
          <w:lang w:val="en-US"/>
        </w:rPr>
        <w:t>. Time-dependent structure of the upper atmosphere. Journal of the Atmospheric Sciences. 19 (1962) 286-301.</w:t>
      </w:r>
      <w:bookmarkEnd w:id="2"/>
    </w:p>
    <w:p w:rsidR="00FE28F6" w:rsidRDefault="00FE28F6"/>
    <w:sectPr w:rsidR="00FE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4C0"/>
    <w:multiLevelType w:val="hybridMultilevel"/>
    <w:tmpl w:val="6564393C"/>
    <w:lvl w:ilvl="0" w:tplc="62A01E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C3"/>
    <w:rsid w:val="000A3DF2"/>
    <w:rsid w:val="00227FC3"/>
    <w:rsid w:val="00E060A4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C3"/>
    <w:rPr>
      <w:rFonts w:ascii="Times New Roman" w:eastAsiaTheme="minorHAnsi" w:hAnsi="Times New Roman" w:cs="Times New Roman"/>
      <w:kern w:val="0"/>
      <w:sz w:val="24"/>
      <w:szCs w:val="24"/>
      <w:lang w:val="en-GB" w:eastAsia="en-GB"/>
    </w:rPr>
  </w:style>
  <w:style w:type="paragraph" w:styleId="2">
    <w:name w:val="heading 2"/>
    <w:aliases w:val="节标题,节标题1,节标题2,Section heading"/>
    <w:basedOn w:val="a"/>
    <w:next w:val="a"/>
    <w:link w:val="2Char"/>
    <w:autoRedefine/>
    <w:uiPriority w:val="9"/>
    <w:unhideWhenUsed/>
    <w:qFormat/>
    <w:rsid w:val="00227FC3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节标题 Char,节标题1 Char,节标题2 Char,Section heading Char"/>
    <w:basedOn w:val="a0"/>
    <w:link w:val="2"/>
    <w:uiPriority w:val="9"/>
    <w:rsid w:val="00227FC3"/>
    <w:rPr>
      <w:rFonts w:ascii="Times New Roman" w:eastAsia="Times New Roman" w:hAnsi="Times New Roman" w:cs="Times New Roman"/>
      <w:b/>
      <w:color w:val="000000" w:themeColor="text1"/>
      <w:kern w:val="0"/>
      <w:sz w:val="28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C3"/>
    <w:rPr>
      <w:rFonts w:ascii="Times New Roman" w:eastAsiaTheme="minorHAnsi" w:hAnsi="Times New Roman" w:cs="Times New Roman"/>
      <w:kern w:val="0"/>
      <w:sz w:val="24"/>
      <w:szCs w:val="24"/>
      <w:lang w:val="en-GB" w:eastAsia="en-GB"/>
    </w:rPr>
  </w:style>
  <w:style w:type="paragraph" w:styleId="2">
    <w:name w:val="heading 2"/>
    <w:aliases w:val="节标题,节标题1,节标题2,Section heading"/>
    <w:basedOn w:val="a"/>
    <w:next w:val="a"/>
    <w:link w:val="2Char"/>
    <w:autoRedefine/>
    <w:uiPriority w:val="9"/>
    <w:unhideWhenUsed/>
    <w:qFormat/>
    <w:rsid w:val="00227FC3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节标题 Char,节标题1 Char,节标题2 Char,Section heading Char"/>
    <w:basedOn w:val="a0"/>
    <w:link w:val="2"/>
    <w:uiPriority w:val="9"/>
    <w:rsid w:val="00227FC3"/>
    <w:rPr>
      <w:rFonts w:ascii="Times New Roman" w:eastAsia="Times New Roman" w:hAnsi="Times New Roman" w:cs="Times New Roman"/>
      <w:b/>
      <w:color w:val="000000" w:themeColor="text1"/>
      <w:kern w:val="0"/>
      <w:sz w:val="28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 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zzygy</dc:creator>
  <cp:lastModifiedBy>zzygy</cp:lastModifiedBy>
  <cp:revision>1</cp:revision>
  <dcterms:created xsi:type="dcterms:W3CDTF">2018-11-23T09:53:00Z</dcterms:created>
  <dcterms:modified xsi:type="dcterms:W3CDTF">2018-11-23T09:54:00Z</dcterms:modified>
</cp:coreProperties>
</file>