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8F" w:rsidRPr="003163AE" w:rsidRDefault="00E3328F" w:rsidP="00E3328F">
      <w:pPr>
        <w:spacing w:after="0" w:line="360" w:lineRule="auto"/>
        <w:ind w:left="720" w:hanging="720"/>
        <w:jc w:val="both"/>
        <w:rPr>
          <w:rFonts w:asciiTheme="majorHAnsi" w:hAnsiTheme="majorHAnsi" w:cstheme="majorHAnsi"/>
          <w:noProof/>
          <w:color w:val="000000" w:themeColor="text1"/>
          <w:sz w:val="24"/>
          <w:szCs w:val="24"/>
          <w:lang w:val="en-US"/>
        </w:rPr>
      </w:pPr>
      <w:r w:rsidRPr="003163AE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begin"/>
      </w:r>
      <w:r w:rsidRPr="003163AE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instrText xml:space="preserve"> ADDIN EN.REFLIST </w:instrText>
      </w:r>
      <w:r w:rsidRPr="003163AE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separate"/>
      </w:r>
    </w:p>
    <w:p w:rsidR="00E3328F" w:rsidRPr="003163AE" w:rsidRDefault="00E3328F" w:rsidP="00E3328F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</w:rPr>
      </w:pPr>
      <w:bookmarkStart w:id="0" w:name="_GoBack"/>
      <w:bookmarkEnd w:id="0"/>
      <w:r w:rsidRPr="003163AE"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</w:rPr>
        <w:t xml:space="preserve">Supporting Information </w:t>
      </w:r>
    </w:p>
    <w:p w:rsidR="00E3328F" w:rsidRPr="003163AE" w:rsidRDefault="00E3328F" w:rsidP="00E3328F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</w:rPr>
        <w:drawing>
          <wp:inline distT="0" distB="0" distL="0" distR="0" wp14:anchorId="03B0A80B" wp14:editId="2B2B6944">
            <wp:extent cx="4291584" cy="328574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TIR2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584" cy="328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28F" w:rsidRPr="003163AE" w:rsidRDefault="00E3328F" w:rsidP="00E3328F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Theme="majorHAnsi" w:hAnsiTheme="majorHAnsi" w:cstheme="majorHAnsi"/>
          <w:noProof/>
          <w:color w:val="000000" w:themeColor="text1"/>
          <w:sz w:val="24"/>
          <w:szCs w:val="24"/>
        </w:rPr>
      </w:pPr>
      <w:r w:rsidRPr="003163AE">
        <w:rPr>
          <w:rFonts w:asciiTheme="majorHAnsi" w:hAnsiTheme="majorHAnsi" w:cstheme="majorHAnsi"/>
          <w:b/>
          <w:sz w:val="24"/>
          <w:szCs w:val="24"/>
        </w:rPr>
        <w:t xml:space="preserve">Figure S1. 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 xml:space="preserve">IR spectra of synthesized pre-polymers. </w:t>
      </w:r>
    </w:p>
    <w:p w:rsidR="00E3328F" w:rsidRPr="003163AE" w:rsidRDefault="00E3328F" w:rsidP="00E3328F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Theme="majorHAnsi" w:hAnsiTheme="majorHAnsi" w:cstheme="majorHAnsi"/>
          <w:noProof/>
          <w:color w:val="000000" w:themeColor="text1"/>
          <w:sz w:val="24"/>
          <w:szCs w:val="24"/>
        </w:rPr>
      </w:pPr>
    </w:p>
    <w:p w:rsidR="00E3328F" w:rsidRPr="003163AE" w:rsidRDefault="00E3328F" w:rsidP="00E3328F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 xml:space="preserve">The spectrum of Figure S1a shows </w:t>
      </w:r>
      <w:r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 xml:space="preserve">the 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pre</w:t>
      </w:r>
      <w:r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-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polymerization product of lactic acid in order to obtain lactide isomer. In this spectrum</w:t>
      </w:r>
      <w:r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,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 xml:space="preserve"> there are characteristic bands from lactic acid, as follows: Around 3500 to 3200 cm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  <w:vertAlign w:val="superscript"/>
        </w:rPr>
        <w:t>-1</w:t>
      </w:r>
      <w:r>
        <w:rPr>
          <w:rFonts w:asciiTheme="majorHAnsi" w:hAnsiTheme="majorHAnsi" w:cstheme="majorHAnsi"/>
          <w:noProof/>
          <w:color w:val="000000" w:themeColor="text1"/>
          <w:sz w:val="24"/>
          <w:szCs w:val="24"/>
          <w:vertAlign w:val="superscript"/>
        </w:rPr>
        <w:t>,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 xml:space="preserve"> the O-H tension of the acid component is observed. At 1730 cm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  <w:vertAlign w:val="superscript"/>
        </w:rPr>
        <w:t>-1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 xml:space="preserve">, a peak related to the carboxylic acid group is observed. </w:t>
      </w:r>
      <w:r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Also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, between 1200-950 cm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  <w:vertAlign w:val="superscript"/>
        </w:rPr>
        <w:t>-1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 xml:space="preserve">, the voltage vibrations C-C and C-O [46] are observed. However, </w:t>
      </w:r>
      <w:r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besides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 xml:space="preserve"> around 1260 cm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  <w:vertAlign w:val="superscript"/>
        </w:rPr>
        <w:t>-1</w:t>
      </w:r>
      <w:r>
        <w:rPr>
          <w:rFonts w:asciiTheme="majorHAnsi" w:hAnsiTheme="majorHAnsi" w:cstheme="majorHAnsi"/>
          <w:noProof/>
          <w:color w:val="000000" w:themeColor="text1"/>
          <w:sz w:val="24"/>
          <w:szCs w:val="24"/>
          <w:vertAlign w:val="superscript"/>
        </w:rPr>
        <w:t>,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 xml:space="preserve"> a shoulder or bump related to the asymmetric vibration C-O-C in the lactonic ring is observed, suggesting lactide formation during pre</w:t>
      </w:r>
      <w:r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-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polymerization of lactic acid [47]. Figure S1b shows the result of the pre</w:t>
      </w:r>
      <w:r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-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polymerization of acrylic acid, showing the characteristic band of the C-OH tension of the acrylic polyacid around 1707 cm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  <w:vertAlign w:val="superscript"/>
        </w:rPr>
        <w:t>-1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, suggesting that in this process</w:t>
      </w:r>
      <w:r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,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 xml:space="preserve"> the partial polymerization of acrylic acid occu</w:t>
      </w:r>
      <w:r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r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red [48]. Finally, the spectrum of the pre</w:t>
      </w:r>
      <w:r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-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polymerization product of lactic acid and acrylic acid is shown in Figure S1c. The plausible mechanism of free radical polymerization between lactic acid and acrylic acid has been previously reported [49]. The peak around 1710 cm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  <w:vertAlign w:val="superscript"/>
        </w:rPr>
        <w:t>-1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 xml:space="preserve"> is related to the tension –C = O 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lastRenderedPageBreak/>
        <w:t>characteristic of this polymerization</w:t>
      </w:r>
      <w:r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,</w:t>
      </w:r>
      <w:r w:rsidRPr="003163AE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 xml:space="preserve"> and the visible shoulder close to this contribution is related to free acids [50].</w:t>
      </w:r>
      <w:r w:rsidRPr="003163AE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end"/>
      </w:r>
    </w:p>
    <w:p w:rsidR="00E3328F" w:rsidRPr="003163AE" w:rsidRDefault="00E3328F" w:rsidP="00E3328F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E3328F" w:rsidRPr="003163AE" w:rsidRDefault="00E3328F" w:rsidP="00E3328F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E31C15" w:rsidRPr="00E3328F" w:rsidRDefault="00E31C15">
      <w:pPr>
        <w:rPr>
          <w:lang w:val="en-US"/>
        </w:rPr>
      </w:pPr>
    </w:p>
    <w:sectPr w:rsidR="00E31C15" w:rsidRPr="00E3328F"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341330"/>
      <w:docPartObj>
        <w:docPartGallery w:val="Page Numbers (Bottom of Page)"/>
        <w:docPartUnique/>
      </w:docPartObj>
    </w:sdtPr>
    <w:sdtEndPr/>
    <w:sdtContent>
      <w:p w:rsidR="006F73AB" w:rsidRDefault="00E3328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328F">
          <w:rPr>
            <w:noProof/>
            <w:lang w:val="es-ES"/>
          </w:rPr>
          <w:t>1</w:t>
        </w:r>
        <w:r>
          <w:fldChar w:fldCharType="end"/>
        </w:r>
      </w:p>
    </w:sdtContent>
  </w:sdt>
  <w:p w:rsidR="006F73AB" w:rsidRDefault="00E3328F" w:rsidP="009B7C4C">
    <w:pPr>
      <w:pStyle w:val="Piedepgina"/>
      <w:tabs>
        <w:tab w:val="clear" w:pos="4419"/>
        <w:tab w:val="clear" w:pos="8838"/>
        <w:tab w:val="left" w:pos="623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MTQ0tbAwMzQ3MDBQ0lEKTi0uzszPAykwrAUADtzZFSwAAAA="/>
  </w:docVars>
  <w:rsids>
    <w:rsidRoot w:val="00E3328F"/>
    <w:rsid w:val="00332335"/>
    <w:rsid w:val="00417F3A"/>
    <w:rsid w:val="00E31C15"/>
    <w:rsid w:val="00E3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DA0F5-3424-4324-B6EF-20C532C9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28F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328F"/>
    <w:pPr>
      <w:spacing w:after="200" w:line="288" w:lineRule="auto"/>
      <w:ind w:left="720"/>
      <w:contextualSpacing/>
    </w:pPr>
    <w:rPr>
      <w:rFonts w:eastAsiaTheme="minorEastAsia"/>
      <w:sz w:val="21"/>
      <w:szCs w:val="21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3328F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28F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Ardila Suárez</dc:creator>
  <cp:keywords/>
  <dc:description/>
  <cp:lastModifiedBy>Carolina Ardila Suárez</cp:lastModifiedBy>
  <cp:revision>1</cp:revision>
  <dcterms:created xsi:type="dcterms:W3CDTF">2020-07-14T22:59:00Z</dcterms:created>
  <dcterms:modified xsi:type="dcterms:W3CDTF">2020-07-14T23:00:00Z</dcterms:modified>
</cp:coreProperties>
</file>