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8D" w:rsidRPr="00C97F11" w:rsidRDefault="0028568D" w:rsidP="0028568D">
      <w:pPr>
        <w:rPr>
          <w:rStyle w:val="a5"/>
          <w:rFonts w:ascii="Times New Roman" w:hAnsi="Times New Roman" w:cs="Times New Roman"/>
          <w:color w:val="auto"/>
          <w:sz w:val="20"/>
          <w:szCs w:val="20"/>
        </w:rPr>
      </w:pPr>
      <w:r w:rsidRPr="0028568D">
        <w:rPr>
          <w:rStyle w:val="a5"/>
          <w:rFonts w:ascii="Times New Roman" w:hAnsi="Times New Roman" w:cs="Times New Roman"/>
          <w:b/>
          <w:color w:val="auto"/>
          <w:sz w:val="20"/>
          <w:szCs w:val="20"/>
        </w:rPr>
        <w:t>Table</w:t>
      </w:r>
      <w:r w:rsidRPr="0028568D">
        <w:rPr>
          <w:rStyle w:val="a5"/>
          <w:rFonts w:ascii="Times New Roman" w:hAnsi="Times New Roman" w:cs="Times New Roman" w:hint="eastAsia"/>
          <w:b/>
          <w:color w:val="auto"/>
          <w:sz w:val="20"/>
          <w:szCs w:val="20"/>
        </w:rPr>
        <w:t>.</w:t>
      </w:r>
      <w:r w:rsidRPr="0028568D">
        <w:rPr>
          <w:rStyle w:val="a5"/>
          <w:rFonts w:ascii="Times New Roman" w:hAnsi="Times New Roman" w:cs="Times New Roman"/>
          <w:b/>
          <w:color w:val="auto"/>
          <w:sz w:val="20"/>
          <w:szCs w:val="20"/>
        </w:rPr>
        <w:t xml:space="preserve"> S1</w:t>
      </w:r>
      <w:r w:rsidRPr="00E6505E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97F11">
        <w:rPr>
          <w:rStyle w:val="a5"/>
          <w:rFonts w:ascii="Times New Roman" w:hAnsi="Times New Roman" w:cs="Times New Roman"/>
          <w:color w:val="auto"/>
          <w:sz w:val="20"/>
          <w:szCs w:val="20"/>
        </w:rPr>
        <w:t>Clinical information of individuals enrolled for urinary protein microarray</w:t>
      </w:r>
    </w:p>
    <w:tbl>
      <w:tblPr>
        <w:tblStyle w:val="a6"/>
        <w:tblW w:w="0" w:type="auto"/>
        <w:tblLook w:val="04A0"/>
      </w:tblPr>
      <w:tblGrid>
        <w:gridCol w:w="1160"/>
        <w:gridCol w:w="1117"/>
        <w:gridCol w:w="936"/>
        <w:gridCol w:w="1080"/>
        <w:gridCol w:w="1099"/>
        <w:gridCol w:w="1217"/>
        <w:gridCol w:w="1913"/>
      </w:tblGrid>
      <w:tr w:rsidR="0028568D" w:rsidRPr="00C97F11" w:rsidTr="006851F8">
        <w:trPr>
          <w:cnfStyle w:val="1000000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Urinary protein (g/24h)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Creatinine (µmol/L)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eGFR (ml · min</w:t>
            </w:r>
            <w:r w:rsidRPr="00C97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−1</w:t>
            </w: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 · 1.73 m</w:t>
            </w:r>
            <w:r w:rsidRPr="00C97F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−2</w:t>
            </w: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T2DM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88.72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85.6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83.49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67.8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112.98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86.3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58.97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159.14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137.04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76.3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72.41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150.3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42.05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111.8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61.99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128.2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37.35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116.1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43.21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119.5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40.36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239.0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24.27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126.2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37.13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DN-II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210.3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28.75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95.46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72.9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88.06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97.4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69.73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126.35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75.4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96.23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73.6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70.60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50.6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147.15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74.39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150.6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42.43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88.6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84.81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133.2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52.98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148.1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47.16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83.6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84.70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79.4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84.88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83.51</w:t>
            </w:r>
          </w:p>
        </w:tc>
      </w:tr>
      <w:tr w:rsidR="0028568D" w:rsidRPr="00C97F11" w:rsidTr="006851F8">
        <w:trPr>
          <w:cnfStyle w:val="000000100000"/>
        </w:trPr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178.1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35.54</w:t>
            </w:r>
          </w:p>
        </w:tc>
      </w:tr>
      <w:tr w:rsidR="0028568D" w:rsidRPr="00C97F11" w:rsidTr="006851F8">
        <w:tc>
          <w:tcPr>
            <w:cnfStyle w:val="001000000000"/>
            <w:tcW w:w="1160" w:type="dxa"/>
          </w:tcPr>
          <w:p w:rsidR="0028568D" w:rsidRPr="00C97F11" w:rsidRDefault="0028568D" w:rsidP="00685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NDRD</w:t>
            </w:r>
          </w:p>
        </w:tc>
        <w:tc>
          <w:tcPr>
            <w:tcW w:w="11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6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099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17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1913" w:type="dxa"/>
          </w:tcPr>
          <w:p w:rsidR="0028568D" w:rsidRPr="00C97F11" w:rsidRDefault="0028568D" w:rsidP="006851F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97F11">
              <w:rPr>
                <w:rFonts w:ascii="Times New Roman" w:hAnsi="Times New Roman" w:cs="Times New Roman"/>
                <w:sz w:val="20"/>
                <w:szCs w:val="20"/>
              </w:rPr>
              <w:t>88.23</w:t>
            </w:r>
          </w:p>
        </w:tc>
      </w:tr>
    </w:tbl>
    <w:p w:rsidR="0028568D" w:rsidRPr="00C97F11" w:rsidRDefault="0028568D" w:rsidP="0028568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0000" w:rsidRDefault="00C8714B">
      <w:pPr>
        <w:rPr>
          <w:rFonts w:hint="eastAsia"/>
        </w:rPr>
      </w:pPr>
    </w:p>
    <w:p w:rsidR="0028568D" w:rsidRPr="004B695B" w:rsidRDefault="0028568D" w:rsidP="0028568D">
      <w:pPr>
        <w:pStyle w:val="VDTableTitle"/>
        <w:rPr>
          <w:rFonts w:ascii="Times New Roman" w:hAnsi="Times New Roman"/>
          <w:sz w:val="20"/>
          <w:szCs w:val="20"/>
        </w:rPr>
      </w:pPr>
      <w:r w:rsidRPr="0028568D">
        <w:rPr>
          <w:rFonts w:ascii="Times New Roman" w:hAnsi="Times New Roman"/>
          <w:b/>
          <w:sz w:val="20"/>
          <w:szCs w:val="20"/>
        </w:rPr>
        <w:t>Table</w:t>
      </w:r>
      <w:r w:rsidRPr="0028568D">
        <w:rPr>
          <w:rFonts w:ascii="Times New Roman" w:hAnsi="Times New Roman" w:hint="eastAsia"/>
          <w:b/>
          <w:sz w:val="20"/>
          <w:szCs w:val="20"/>
        </w:rPr>
        <w:t>.</w:t>
      </w:r>
      <w:r w:rsidRPr="0028568D">
        <w:rPr>
          <w:rFonts w:ascii="Times New Roman" w:hAnsi="Times New Roman"/>
          <w:b/>
          <w:sz w:val="20"/>
          <w:szCs w:val="20"/>
        </w:rPr>
        <w:t xml:space="preserve"> S</w:t>
      </w:r>
      <w:r w:rsidRPr="0028568D">
        <w:rPr>
          <w:rFonts w:ascii="Times New Roman" w:hAnsi="Times New Roman" w:hint="eastAsia"/>
          <w:b/>
          <w:sz w:val="20"/>
          <w:szCs w:val="20"/>
        </w:rPr>
        <w:t>2</w:t>
      </w:r>
      <w:r w:rsidRPr="0028568D">
        <w:rPr>
          <w:rFonts w:ascii="Times New Roman" w:hAnsi="Times New Roman"/>
          <w:b/>
          <w:sz w:val="20"/>
          <w:szCs w:val="20"/>
        </w:rPr>
        <w:t xml:space="preserve"> </w:t>
      </w:r>
      <w:r w:rsidRPr="004B695B">
        <w:rPr>
          <w:rFonts w:ascii="Times New Roman" w:hAnsi="Times New Roman"/>
          <w:sz w:val="20"/>
          <w:szCs w:val="20"/>
        </w:rPr>
        <w:t>The normalized fluorescent intensities for each lectin in</w:t>
      </w:r>
      <w:r w:rsidRPr="004B695B">
        <w:rPr>
          <w:rFonts w:ascii="Times New Roman" w:hAnsi="Times New Roman" w:hint="eastAsia"/>
          <w:sz w:val="20"/>
          <w:szCs w:val="20"/>
        </w:rPr>
        <w:t xml:space="preserve"> HVs, T2DM, DN groups, MN and IgAN </w:t>
      </w:r>
      <w:r w:rsidRPr="004B695B">
        <w:rPr>
          <w:rFonts w:ascii="Times New Roman" w:hAnsi="Times New Roman"/>
          <w:sz w:val="20"/>
          <w:szCs w:val="20"/>
        </w:rPr>
        <w:t>by the lectin microarray analysis based on data of 37 lectins</w:t>
      </w:r>
      <w:r w:rsidRPr="004B695B">
        <w:rPr>
          <w:rFonts w:ascii="Times New Roman" w:hAnsi="Times New Roman"/>
          <w:i/>
          <w:sz w:val="20"/>
          <w:szCs w:val="20"/>
          <w:vertAlign w:val="superscript"/>
        </w:rPr>
        <w:t>a</w:t>
      </w:r>
    </w:p>
    <w:tbl>
      <w:tblPr>
        <w:tblStyle w:val="1"/>
        <w:tblW w:w="0" w:type="auto"/>
        <w:tblLook w:val="04A0"/>
      </w:tblPr>
      <w:tblGrid>
        <w:gridCol w:w="1086"/>
        <w:gridCol w:w="1192"/>
        <w:gridCol w:w="1216"/>
        <w:gridCol w:w="1249"/>
        <w:gridCol w:w="1293"/>
        <w:gridCol w:w="1193"/>
        <w:gridCol w:w="1293"/>
      </w:tblGrid>
      <w:tr w:rsidR="0028568D" w:rsidRPr="004B695B" w:rsidTr="006851F8">
        <w:trPr>
          <w:cnfStyle w:val="1000000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Lectin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4B695B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Vs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T2DM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DN</w:t>
            </w:r>
            <w:r w:rsidRPr="004B695B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group 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DN</w:t>
            </w:r>
            <w:r w:rsidRPr="004B695B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 xml:space="preserve"> group II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MN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IgAN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Jacalin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HHL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WFA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GSL-II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MAL-II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.042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PHA-E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PTL-I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.050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SJA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.058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.022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.073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.113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.043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.026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GSL-I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.053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RCA120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.200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.043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.160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.234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.956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.120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.025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BS-I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.082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.045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.027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PTL-II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.348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.057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.074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.996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.305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.040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.162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.047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.052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VVA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.047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.102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.022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.017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WGA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.043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UEA-I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.066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PWM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.048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.085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.044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.070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MAL-I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.016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.012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.214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.105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.143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.056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.011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PHA-E+L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28568D" w:rsidRPr="004B695B" w:rsidTr="006851F8">
        <w:trPr>
          <w:cnfStyle w:val="000000100000"/>
        </w:trPr>
        <w:tc>
          <w:tcPr>
            <w:cnfStyle w:val="001000000000"/>
            <w:tcW w:w="0" w:type="auto"/>
          </w:tcPr>
          <w:p w:rsidR="0028568D" w:rsidRPr="004B695B" w:rsidRDefault="0028568D" w:rsidP="006851F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.065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.280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.079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.7131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.071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.279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0" w:type="auto"/>
          </w:tcPr>
          <w:p w:rsidR="0028568D" w:rsidRPr="004B695B" w:rsidRDefault="0028568D" w:rsidP="006851F8">
            <w:pPr>
              <w:jc w:val="center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.1561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4B695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0</w:t>
            </w:r>
            <w:r w:rsidRPr="004B6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.041</w:t>
            </w:r>
          </w:p>
        </w:tc>
      </w:tr>
    </w:tbl>
    <w:p w:rsidR="0028568D" w:rsidRPr="004B695B" w:rsidRDefault="0028568D" w:rsidP="0028568D">
      <w:pPr>
        <w:pStyle w:val="FETableFootnote"/>
        <w:rPr>
          <w:rFonts w:ascii="Times New Roman" w:hAnsi="Times New Roman"/>
          <w:sz w:val="20"/>
          <w:szCs w:val="20"/>
        </w:rPr>
      </w:pPr>
      <w:r w:rsidRPr="004B695B">
        <w:rPr>
          <w:rFonts w:ascii="Times New Roman" w:hAnsi="Times New Roman"/>
          <w:i/>
          <w:sz w:val="20"/>
          <w:szCs w:val="20"/>
          <w:vertAlign w:val="superscript"/>
        </w:rPr>
        <w:t>a</w:t>
      </w:r>
      <w:r w:rsidRPr="004B695B">
        <w:rPr>
          <w:rFonts w:ascii="Times New Roman" w:hAnsi="Times New Roman"/>
          <w:sz w:val="20"/>
          <w:szCs w:val="20"/>
        </w:rPr>
        <w:t>Normalized fluorescent intensities (NFI) obtained for three repeated slides were averaged and its SD was counted; /, negative signals. HV</w:t>
      </w:r>
      <w:r w:rsidRPr="004B695B">
        <w:rPr>
          <w:rFonts w:ascii="Times New Roman" w:hAnsi="Times New Roman" w:hint="eastAsia"/>
          <w:sz w:val="20"/>
          <w:szCs w:val="20"/>
        </w:rPr>
        <w:t>s</w:t>
      </w:r>
      <w:r w:rsidRPr="004B695B">
        <w:rPr>
          <w:rFonts w:ascii="Times New Roman" w:hAnsi="Times New Roman"/>
          <w:sz w:val="20"/>
          <w:szCs w:val="20"/>
        </w:rPr>
        <w:t>, healthy volunteers; T2DM, type 2 diabetic mellitus</w:t>
      </w:r>
      <w:r w:rsidRPr="004B695B">
        <w:rPr>
          <w:rFonts w:ascii="Times New Roman" w:hAnsi="Times New Roman" w:hint="eastAsia"/>
          <w:sz w:val="20"/>
          <w:szCs w:val="20"/>
        </w:rPr>
        <w:t xml:space="preserve">; </w:t>
      </w:r>
      <w:r w:rsidRPr="004B695B">
        <w:rPr>
          <w:rFonts w:ascii="Times New Roman" w:hAnsi="Times New Roman"/>
          <w:sz w:val="20"/>
          <w:szCs w:val="20"/>
        </w:rPr>
        <w:t>DN</w:t>
      </w:r>
      <w:r w:rsidRPr="004B695B">
        <w:rPr>
          <w:rFonts w:ascii="Times New Roman" w:hAnsi="Times New Roman" w:hint="eastAsia"/>
          <w:sz w:val="20"/>
          <w:szCs w:val="20"/>
        </w:rPr>
        <w:t xml:space="preserve"> diabetic </w:t>
      </w:r>
      <w:r w:rsidRPr="004B695B">
        <w:rPr>
          <w:rFonts w:ascii="Times New Roman" w:hAnsi="Times New Roman"/>
          <w:sz w:val="20"/>
          <w:szCs w:val="20"/>
        </w:rPr>
        <w:t>nephropathy</w:t>
      </w:r>
      <w:r w:rsidRPr="004B695B">
        <w:rPr>
          <w:rFonts w:ascii="Times New Roman" w:hAnsi="Times New Roman" w:hint="eastAsia"/>
          <w:sz w:val="20"/>
          <w:szCs w:val="20"/>
        </w:rPr>
        <w:t xml:space="preserve">; MN, </w:t>
      </w:r>
      <w:r w:rsidRPr="004B695B">
        <w:rPr>
          <w:rFonts w:ascii="Times New Roman" w:hAnsi="Times New Roman"/>
          <w:sz w:val="20"/>
          <w:szCs w:val="20"/>
        </w:rPr>
        <w:t>membranous nephropathy</w:t>
      </w:r>
      <w:r w:rsidRPr="004B695B">
        <w:rPr>
          <w:rFonts w:ascii="Times New Roman" w:hAnsi="Times New Roman" w:hint="eastAsia"/>
          <w:sz w:val="20"/>
          <w:szCs w:val="20"/>
        </w:rPr>
        <w:t xml:space="preserve">; IgAN, IgA </w:t>
      </w:r>
      <w:r w:rsidRPr="004B695B">
        <w:rPr>
          <w:rFonts w:ascii="Times New Roman" w:hAnsi="Times New Roman"/>
          <w:sz w:val="20"/>
          <w:szCs w:val="20"/>
        </w:rPr>
        <w:t>nephropathy</w:t>
      </w:r>
      <w:r w:rsidRPr="004B695B">
        <w:rPr>
          <w:rFonts w:ascii="Times New Roman" w:hAnsi="Times New Roman" w:hint="eastAsia"/>
          <w:sz w:val="20"/>
          <w:szCs w:val="20"/>
        </w:rPr>
        <w:t>.</w:t>
      </w:r>
    </w:p>
    <w:p w:rsidR="0028568D" w:rsidRPr="0028568D" w:rsidRDefault="0028568D"/>
    <w:sectPr w:rsidR="0028568D" w:rsidRPr="0028568D" w:rsidSect="002F3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4B" w:rsidRDefault="00C8714B" w:rsidP="0028568D">
      <w:r>
        <w:separator/>
      </w:r>
    </w:p>
  </w:endnote>
  <w:endnote w:type="continuationSeparator" w:id="1">
    <w:p w:rsidR="00C8714B" w:rsidRDefault="00C8714B" w:rsidP="0028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4B" w:rsidRDefault="00C8714B" w:rsidP="0028568D">
      <w:r>
        <w:separator/>
      </w:r>
    </w:p>
  </w:footnote>
  <w:footnote w:type="continuationSeparator" w:id="1">
    <w:p w:rsidR="00C8714B" w:rsidRDefault="00C8714B" w:rsidP="00285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68D"/>
    <w:rsid w:val="0028568D"/>
    <w:rsid w:val="00C8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6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68D"/>
    <w:rPr>
      <w:sz w:val="18"/>
      <w:szCs w:val="18"/>
    </w:rPr>
  </w:style>
  <w:style w:type="character" w:styleId="a5">
    <w:name w:val="Emphasis"/>
    <w:basedOn w:val="a0"/>
    <w:uiPriority w:val="20"/>
    <w:qFormat/>
    <w:rsid w:val="0028568D"/>
    <w:rPr>
      <w:b w:val="0"/>
      <w:bCs w:val="0"/>
      <w:i w:val="0"/>
      <w:iCs w:val="0"/>
      <w:color w:val="DD4B39"/>
    </w:rPr>
  </w:style>
  <w:style w:type="table" w:styleId="a6">
    <w:name w:val="Light Shading"/>
    <w:basedOn w:val="a1"/>
    <w:uiPriority w:val="60"/>
    <w:rsid w:val="002856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VDTableTitle">
    <w:name w:val="VD_Table_Title"/>
    <w:basedOn w:val="a"/>
    <w:next w:val="a"/>
    <w:rsid w:val="0028568D"/>
    <w:pPr>
      <w:spacing w:line="480" w:lineRule="auto"/>
    </w:pPr>
    <w:rPr>
      <w:rFonts w:ascii="Calibri" w:eastAsia="宋体" w:hAnsi="Calibri" w:cs="Times New Roman"/>
      <w:sz w:val="24"/>
    </w:rPr>
  </w:style>
  <w:style w:type="table" w:customStyle="1" w:styleId="1">
    <w:name w:val="浅色底纹1"/>
    <w:basedOn w:val="a1"/>
    <w:uiPriority w:val="60"/>
    <w:rsid w:val="002856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ETableFootnote">
    <w:name w:val="FE_Table_Footnote"/>
    <w:basedOn w:val="a"/>
    <w:next w:val="a"/>
    <w:rsid w:val="0028568D"/>
    <w:pPr>
      <w:ind w:firstLine="187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yhj</dc:creator>
  <cp:keywords/>
  <dc:description/>
  <cp:lastModifiedBy>yhj</cp:lastModifiedBy>
  <cp:revision>2</cp:revision>
  <dcterms:created xsi:type="dcterms:W3CDTF">2016-07-15T13:05:00Z</dcterms:created>
  <dcterms:modified xsi:type="dcterms:W3CDTF">2016-07-15T13:05:00Z</dcterms:modified>
</cp:coreProperties>
</file>