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02975" cy="388924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975" cy="388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spacing w:line="259" w:lineRule="auto"/>
        <w:ind w:left="116" w:right="157"/>
      </w:pPr>
      <w:r>
        <w:rPr/>
        <w:t>Supplementary data to figure 1: Lymphocytes after PMA stimulation. Gating strategy: lymphocytes were identified on FSC/SSC dot plot G1) as cells within 50-100 x 10</w:t>
      </w:r>
      <w:r>
        <w:rPr>
          <w:vertAlign w:val="superscript"/>
        </w:rPr>
        <w:t>3</w:t>
      </w:r>
      <w:r>
        <w:rPr>
          <w:vertAlign w:val="baseline"/>
        </w:rPr>
        <w:t> on FSC and below 50 x 10</w:t>
      </w:r>
      <w:r>
        <w:rPr>
          <w:vertAlign w:val="superscript"/>
        </w:rPr>
        <w:t>3</w:t>
      </w:r>
      <w:r>
        <w:rPr>
          <w:vertAlign w:val="baseline"/>
        </w:rPr>
        <w:t> on SSC. G2) doublets exclusion. G3) CD3 positive cells (T lymphocytes were identified as events with PreCP fluorescence above 10</w:t>
      </w:r>
      <w:r>
        <w:rPr>
          <w:vertAlign w:val="superscript"/>
        </w:rPr>
        <w:t>3</w:t>
      </w:r>
      <w:r>
        <w:rPr>
          <w:vertAlign w:val="baseline"/>
        </w:rPr>
        <w:t> on logarithmic scale G4)</w:t>
      </w:r>
      <w:r>
        <w:rPr>
          <w:spacing w:val="40"/>
          <w:vertAlign w:val="baseline"/>
        </w:rPr>
        <w:t> </w:t>
      </w:r>
      <w:r>
        <w:rPr>
          <w:vertAlign w:val="baseline"/>
        </w:rPr>
        <w:t>TNF - α positive T lymphocytes were identified as CD3</w:t>
      </w:r>
      <w:r>
        <w:rPr>
          <w:vertAlign w:val="superscript"/>
        </w:rPr>
        <w:t>+</w:t>
      </w:r>
      <w:r>
        <w:rPr>
          <w:vertAlign w:val="baseline"/>
        </w:rPr>
        <w:t> lymphocytes from G3 gate with fluorescence higher than fluorescence minus</w:t>
      </w:r>
      <w:r>
        <w:rPr>
          <w:spacing w:val="40"/>
          <w:vertAlign w:val="baseline"/>
        </w:rPr>
        <w:t> </w:t>
      </w:r>
      <w:r>
        <w:rPr>
          <w:vertAlign w:val="baseline"/>
        </w:rPr>
        <w:t>one from G4a. G5) IL-10 positive T lymphocytes were identified as CD3</w:t>
      </w:r>
      <w:r>
        <w:rPr>
          <w:vertAlign w:val="superscript"/>
        </w:rPr>
        <w:t>+</w:t>
      </w:r>
      <w:r>
        <w:rPr>
          <w:vertAlign w:val="baseline"/>
        </w:rPr>
        <w:t> lymphocytes from G3 gate with fluorescence</w:t>
      </w:r>
      <w:r>
        <w:rPr>
          <w:spacing w:val="-1"/>
          <w:vertAlign w:val="baseline"/>
        </w:rPr>
        <w:t> </w:t>
      </w:r>
      <w:r>
        <w:rPr>
          <w:vertAlign w:val="baseline"/>
        </w:rPr>
        <w:t>higher</w:t>
      </w:r>
      <w:r>
        <w:rPr>
          <w:spacing w:val="-3"/>
          <w:vertAlign w:val="baseline"/>
        </w:rPr>
        <w:t> </w:t>
      </w:r>
      <w:r>
        <w:rPr>
          <w:vertAlign w:val="baseline"/>
        </w:rPr>
        <w:t>than</w:t>
      </w:r>
      <w:r>
        <w:rPr>
          <w:spacing w:val="-2"/>
          <w:vertAlign w:val="baseline"/>
        </w:rPr>
        <w:t> </w:t>
      </w:r>
      <w:r>
        <w:rPr>
          <w:vertAlign w:val="baseline"/>
        </w:rPr>
        <w:t>fluorescence</w:t>
      </w:r>
      <w:r>
        <w:rPr>
          <w:spacing w:val="-3"/>
          <w:vertAlign w:val="baseline"/>
        </w:rPr>
        <w:t> </w:t>
      </w:r>
      <w:r>
        <w:rPr>
          <w:vertAlign w:val="baseline"/>
        </w:rPr>
        <w:t>minus</w:t>
      </w:r>
      <w:r>
        <w:rPr>
          <w:spacing w:val="40"/>
          <w:vertAlign w:val="baseline"/>
        </w:rPr>
        <w:t> </w:t>
      </w:r>
      <w:r>
        <w:rPr>
          <w:vertAlign w:val="baseline"/>
        </w:rPr>
        <w:t>one</w:t>
      </w:r>
      <w:r>
        <w:rPr>
          <w:spacing w:val="-3"/>
          <w:vertAlign w:val="baseline"/>
        </w:rPr>
        <w:t> </w:t>
      </w:r>
      <w:r>
        <w:rPr>
          <w:vertAlign w:val="baseline"/>
        </w:rPr>
        <w:t>from G5a. G6)</w:t>
      </w:r>
      <w:r>
        <w:rPr>
          <w:spacing w:val="-1"/>
          <w:vertAlign w:val="baseline"/>
        </w:rPr>
        <w:t> </w:t>
      </w:r>
      <w:r>
        <w:rPr>
          <w:vertAlign w:val="baseline"/>
        </w:rPr>
        <w:t>INF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γ</w:t>
      </w:r>
      <w:r>
        <w:rPr>
          <w:spacing w:val="-1"/>
          <w:vertAlign w:val="baseline"/>
        </w:rPr>
        <w:t> </w:t>
      </w:r>
      <w:r>
        <w:rPr>
          <w:vertAlign w:val="baseline"/>
        </w:rPr>
        <w:t>positive</w:t>
      </w:r>
      <w:r>
        <w:rPr>
          <w:spacing w:val="-3"/>
          <w:vertAlign w:val="baseline"/>
        </w:rPr>
        <w:t> </w:t>
      </w:r>
      <w:r>
        <w:rPr>
          <w:vertAlign w:val="baseline"/>
        </w:rPr>
        <w:t>T</w:t>
      </w:r>
      <w:r>
        <w:rPr>
          <w:spacing w:val="-1"/>
          <w:vertAlign w:val="baseline"/>
        </w:rPr>
        <w:t> </w:t>
      </w:r>
      <w:r>
        <w:rPr>
          <w:vertAlign w:val="baseline"/>
        </w:rPr>
        <w:t>lymphocytes</w:t>
      </w:r>
      <w:r>
        <w:rPr>
          <w:spacing w:val="-3"/>
          <w:vertAlign w:val="baseline"/>
        </w:rPr>
        <w:t> </w:t>
      </w:r>
      <w:r>
        <w:rPr>
          <w:vertAlign w:val="baseline"/>
        </w:rPr>
        <w:t>were identified as CD3</w:t>
      </w:r>
      <w:r>
        <w:rPr>
          <w:vertAlign w:val="superscript"/>
        </w:rPr>
        <w:t>+</w:t>
      </w:r>
      <w:r>
        <w:rPr>
          <w:vertAlign w:val="baseline"/>
        </w:rPr>
        <w:t> lymphocytes from G3 gate with fluorescence higher than fluorescence minus</w:t>
      </w:r>
      <w:r>
        <w:rPr>
          <w:spacing w:val="40"/>
          <w:vertAlign w:val="baseline"/>
        </w:rPr>
        <w:t> </w:t>
      </w:r>
      <w:r>
        <w:rPr>
          <w:vertAlign w:val="baseline"/>
        </w:rPr>
        <w:t>one from</w:t>
      </w:r>
      <w:r>
        <w:rPr>
          <w:spacing w:val="-4"/>
          <w:vertAlign w:val="baseline"/>
        </w:rPr>
        <w:t> </w:t>
      </w:r>
      <w:r>
        <w:rPr>
          <w:vertAlign w:val="baseline"/>
        </w:rPr>
        <w:t>G6a.</w:t>
      </w:r>
      <w:r>
        <w:rPr>
          <w:spacing w:val="-2"/>
          <w:vertAlign w:val="baseline"/>
        </w:rPr>
        <w:t> </w:t>
      </w:r>
      <w:r>
        <w:rPr>
          <w:vertAlign w:val="baseline"/>
        </w:rPr>
        <w:t>G7)</w:t>
      </w:r>
      <w:r>
        <w:rPr>
          <w:spacing w:val="-2"/>
          <w:vertAlign w:val="baseline"/>
        </w:rPr>
        <w:t> </w:t>
      </w:r>
      <w:r>
        <w:rPr>
          <w:vertAlign w:val="baseline"/>
        </w:rPr>
        <w:t>TGF</w:t>
      </w:r>
      <w:r>
        <w:rPr>
          <w:spacing w:val="-4"/>
          <w:vertAlign w:val="baseline"/>
        </w:rPr>
        <w:t> </w:t>
      </w:r>
      <w:r>
        <w:rPr>
          <w:vertAlign w:val="baseline"/>
        </w:rPr>
        <w:t>-</w:t>
      </w:r>
      <w:r>
        <w:rPr>
          <w:spacing w:val="-2"/>
          <w:vertAlign w:val="baseline"/>
        </w:rPr>
        <w:t> </w:t>
      </w:r>
      <w:r>
        <w:rPr>
          <w:vertAlign w:val="baseline"/>
        </w:rPr>
        <w:t>β</w:t>
      </w:r>
      <w:r>
        <w:rPr>
          <w:spacing w:val="-2"/>
          <w:vertAlign w:val="baseline"/>
        </w:rPr>
        <w:t> </w:t>
      </w:r>
      <w:r>
        <w:rPr>
          <w:vertAlign w:val="baseline"/>
        </w:rPr>
        <w:t>positive</w:t>
      </w:r>
      <w:r>
        <w:rPr>
          <w:spacing w:val="-3"/>
          <w:vertAlign w:val="baseline"/>
        </w:rPr>
        <w:t> </w:t>
      </w:r>
      <w:r>
        <w:rPr>
          <w:vertAlign w:val="baseline"/>
        </w:rPr>
        <w:t>T</w:t>
      </w:r>
      <w:r>
        <w:rPr>
          <w:spacing w:val="-2"/>
          <w:vertAlign w:val="baseline"/>
        </w:rPr>
        <w:t> </w:t>
      </w:r>
      <w:r>
        <w:rPr>
          <w:vertAlign w:val="baseline"/>
        </w:rPr>
        <w:t>lymphocytes</w:t>
      </w:r>
      <w:r>
        <w:rPr>
          <w:spacing w:val="-4"/>
          <w:vertAlign w:val="baseline"/>
        </w:rPr>
        <w:t> </w:t>
      </w:r>
      <w:r>
        <w:rPr>
          <w:vertAlign w:val="baseline"/>
        </w:rPr>
        <w:t>were</w:t>
      </w:r>
      <w:r>
        <w:rPr>
          <w:spacing w:val="-2"/>
          <w:vertAlign w:val="baseline"/>
        </w:rPr>
        <w:t> </w:t>
      </w:r>
      <w:r>
        <w:rPr>
          <w:vertAlign w:val="baseline"/>
        </w:rPr>
        <w:t>identified</w:t>
      </w:r>
      <w:r>
        <w:rPr>
          <w:spacing w:val="-3"/>
          <w:vertAlign w:val="baseline"/>
        </w:rPr>
        <w:t> </w:t>
      </w:r>
      <w:r>
        <w:rPr>
          <w:vertAlign w:val="baseline"/>
        </w:rPr>
        <w:t>as</w:t>
      </w:r>
      <w:r>
        <w:rPr>
          <w:spacing w:val="-2"/>
          <w:vertAlign w:val="baseline"/>
        </w:rPr>
        <w:t> </w:t>
      </w:r>
      <w:r>
        <w:rPr>
          <w:vertAlign w:val="baseline"/>
        </w:rPr>
        <w:t>CD3</w:t>
      </w:r>
      <w:r>
        <w:rPr>
          <w:vertAlign w:val="superscript"/>
        </w:rPr>
        <w:t>+</w:t>
      </w:r>
      <w:r>
        <w:rPr>
          <w:spacing w:val="-4"/>
          <w:vertAlign w:val="baseline"/>
        </w:rPr>
        <w:t> </w:t>
      </w:r>
      <w:r>
        <w:rPr>
          <w:vertAlign w:val="baseline"/>
        </w:rPr>
        <w:t>lymphocytes</w:t>
      </w:r>
      <w:r>
        <w:rPr>
          <w:spacing w:val="-2"/>
          <w:vertAlign w:val="baseline"/>
        </w:rPr>
        <w:t> </w:t>
      </w:r>
      <w:r>
        <w:rPr>
          <w:vertAlign w:val="baseline"/>
        </w:rPr>
        <w:t>from</w:t>
      </w:r>
      <w:r>
        <w:rPr>
          <w:spacing w:val="-1"/>
          <w:vertAlign w:val="baseline"/>
        </w:rPr>
        <w:t> </w:t>
      </w:r>
      <w:r>
        <w:rPr>
          <w:vertAlign w:val="baseline"/>
        </w:rPr>
        <w:t>G3</w:t>
      </w:r>
      <w:r>
        <w:rPr>
          <w:spacing w:val="-2"/>
          <w:vertAlign w:val="baseline"/>
        </w:rPr>
        <w:t> </w:t>
      </w:r>
      <w:r>
        <w:rPr>
          <w:vertAlign w:val="baseline"/>
        </w:rPr>
        <w:t>gate</w:t>
      </w:r>
      <w:r>
        <w:rPr>
          <w:spacing w:val="-4"/>
          <w:vertAlign w:val="baseline"/>
        </w:rPr>
        <w:t> </w:t>
      </w:r>
      <w:r>
        <w:rPr>
          <w:vertAlign w:val="baseline"/>
        </w:rPr>
        <w:t>with fluorescence higher than fluorescence minus</w:t>
      </w:r>
      <w:r>
        <w:rPr>
          <w:spacing w:val="40"/>
          <w:vertAlign w:val="baseline"/>
        </w:rPr>
        <w:t> </w:t>
      </w:r>
      <w:r>
        <w:rPr>
          <w:vertAlign w:val="baseline"/>
        </w:rPr>
        <w:t>one from G7a. FMO controls are represented on G4a, G5a, G6a, Ga7, G8a dot plots.</w:t>
      </w:r>
    </w:p>
    <w:p>
      <w:pPr>
        <w:spacing w:after="0" w:line="259" w:lineRule="auto"/>
        <w:sectPr>
          <w:type w:val="continuous"/>
          <w:pgSz w:w="11910" w:h="16840"/>
          <w:pgMar w:top="1560" w:bottom="280" w:left="1300" w:right="1300"/>
        </w:sectPr>
      </w:pPr>
    </w:p>
    <w:p>
      <w:pPr>
        <w:pStyle w:val="BodyText"/>
        <w:ind w:left="431"/>
        <w:rPr>
          <w:sz w:val="20"/>
        </w:rPr>
      </w:pPr>
      <w:r>
        <w:rPr>
          <w:sz w:val="20"/>
        </w:rPr>
        <w:drawing>
          <wp:inline distT="0" distB="0" distL="0" distR="0">
            <wp:extent cx="5536496" cy="3922776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496" cy="392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</w:p>
    <w:p>
      <w:pPr>
        <w:pStyle w:val="BodyText"/>
        <w:spacing w:before="174"/>
      </w:pPr>
    </w:p>
    <w:p>
      <w:pPr>
        <w:pStyle w:val="BodyText"/>
        <w:spacing w:line="259" w:lineRule="auto"/>
        <w:ind w:left="116" w:right="1"/>
      </w:pPr>
      <w:r>
        <w:rPr/>
        <w:t>Supplementary data to figure 2: Lymphocytes after PHA stimulation. Gating strategy: lymphocytes were</w:t>
      </w:r>
      <w:r>
        <w:rPr>
          <w:spacing w:val="-2"/>
        </w:rPr>
        <w:t> </w:t>
      </w:r>
      <w:r>
        <w:rPr/>
        <w:t>identified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FSC/SSC dot plot S1) as</w:t>
      </w:r>
      <w:r>
        <w:rPr>
          <w:spacing w:val="-3"/>
        </w:rPr>
        <w:t> </w:t>
      </w:r>
      <w:r>
        <w:rPr/>
        <w:t>cells</w:t>
      </w:r>
      <w:r>
        <w:rPr>
          <w:spacing w:val="-3"/>
        </w:rPr>
        <w:t> </w:t>
      </w:r>
      <w:r>
        <w:rPr/>
        <w:t>within</w:t>
      </w:r>
      <w:r>
        <w:rPr>
          <w:spacing w:val="-4"/>
        </w:rPr>
        <w:t> </w:t>
      </w:r>
      <w:r>
        <w:rPr/>
        <w:t>50-100 x</w:t>
      </w:r>
      <w:r>
        <w:rPr>
          <w:spacing w:val="-2"/>
        </w:rPr>
        <w:t> </w:t>
      </w:r>
      <w:r>
        <w:rPr/>
        <w:t>10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FSC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below</w:t>
      </w:r>
      <w:r>
        <w:rPr>
          <w:spacing w:val="-2"/>
          <w:vertAlign w:val="baseline"/>
        </w:rPr>
        <w:t> </w:t>
      </w:r>
      <w:r>
        <w:rPr>
          <w:vertAlign w:val="baseline"/>
        </w:rPr>
        <w:t>50</w:t>
      </w:r>
      <w:r>
        <w:rPr>
          <w:spacing w:val="-2"/>
          <w:vertAlign w:val="baseline"/>
        </w:rPr>
        <w:t> </w:t>
      </w:r>
      <w:r>
        <w:rPr>
          <w:vertAlign w:val="baseline"/>
        </w:rPr>
        <w:t>x</w:t>
      </w:r>
      <w:r>
        <w:rPr>
          <w:spacing w:val="-2"/>
          <w:vertAlign w:val="baseline"/>
        </w:rPr>
        <w:t> </w:t>
      </w:r>
      <w:r>
        <w:rPr>
          <w:vertAlign w:val="baseline"/>
        </w:rPr>
        <w:t>10</w:t>
      </w:r>
      <w:r>
        <w:rPr>
          <w:vertAlign w:val="superscript"/>
        </w:rPr>
        <w:t>3</w:t>
      </w:r>
      <w:r>
        <w:rPr>
          <w:spacing w:val="-3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SSC,</w:t>
      </w:r>
    </w:p>
    <w:p>
      <w:pPr>
        <w:pStyle w:val="BodyText"/>
        <w:spacing w:line="259" w:lineRule="auto" w:before="1"/>
        <w:ind w:left="116" w:right="129"/>
      </w:pPr>
      <w:r>
        <w:rPr/>
        <w:t>S2) CD3 positive cells ( T lymphocytes were identified as events with PreCP fluorescence above 10</w:t>
      </w:r>
      <w:r>
        <w:rPr>
          <w:vertAlign w:val="superscript"/>
        </w:rPr>
        <w:t>3</w:t>
      </w:r>
      <w:r>
        <w:rPr>
          <w:spacing w:val="40"/>
          <w:vertAlign w:val="baseline"/>
        </w:rPr>
        <w:t> </w:t>
      </w:r>
      <w:r>
        <w:rPr>
          <w:vertAlign w:val="baseline"/>
        </w:rPr>
        <w:t>on logarithmic</w:t>
      </w:r>
      <w:r>
        <w:rPr>
          <w:spacing w:val="-2"/>
          <w:vertAlign w:val="baseline"/>
        </w:rPr>
        <w:t> </w:t>
      </w:r>
      <w:r>
        <w:rPr>
          <w:vertAlign w:val="baseline"/>
        </w:rPr>
        <w:t>scale S3)</w:t>
      </w:r>
      <w:r>
        <w:rPr>
          <w:spacing w:val="-2"/>
          <w:vertAlign w:val="baseline"/>
        </w:rPr>
        <w:t> </w:t>
      </w:r>
      <w:r>
        <w:rPr>
          <w:vertAlign w:val="baseline"/>
        </w:rPr>
        <w:t>CD4 positive cells (</w:t>
      </w:r>
      <w:r>
        <w:rPr>
          <w:spacing w:val="-2"/>
          <w:vertAlign w:val="baseline"/>
        </w:rPr>
        <w:t> </w:t>
      </w:r>
      <w:r>
        <w:rPr>
          <w:vertAlign w:val="baseline"/>
        </w:rPr>
        <w:t>T helper</w:t>
      </w:r>
      <w:r>
        <w:rPr>
          <w:spacing w:val="-2"/>
          <w:vertAlign w:val="baseline"/>
        </w:rPr>
        <w:t> </w:t>
      </w:r>
      <w:r>
        <w:rPr>
          <w:vertAlign w:val="baseline"/>
        </w:rPr>
        <w:t>lymphocytes were identified</w:t>
      </w:r>
      <w:r>
        <w:rPr>
          <w:spacing w:val="-3"/>
          <w:vertAlign w:val="baseline"/>
        </w:rPr>
        <w:t> </w:t>
      </w:r>
      <w:r>
        <w:rPr>
          <w:vertAlign w:val="baseline"/>
        </w:rPr>
        <w:t>as events</w:t>
      </w:r>
      <w:r>
        <w:rPr>
          <w:spacing w:val="-2"/>
          <w:vertAlign w:val="baseline"/>
        </w:rPr>
        <w:t> </w:t>
      </w:r>
      <w:r>
        <w:rPr>
          <w:vertAlign w:val="baseline"/>
        </w:rPr>
        <w:t>with APC- Cy7</w:t>
      </w:r>
      <w:r>
        <w:rPr>
          <w:spacing w:val="-1"/>
          <w:vertAlign w:val="baseline"/>
        </w:rPr>
        <w:t> </w:t>
      </w:r>
      <w:r>
        <w:rPr>
          <w:vertAlign w:val="baseline"/>
        </w:rPr>
        <w:t>fluorescence</w:t>
      </w:r>
      <w:r>
        <w:rPr>
          <w:spacing w:val="-1"/>
          <w:vertAlign w:val="baseline"/>
        </w:rPr>
        <w:t> </w:t>
      </w:r>
      <w:r>
        <w:rPr>
          <w:vertAlign w:val="baseline"/>
        </w:rPr>
        <w:t>above</w:t>
      </w:r>
      <w:r>
        <w:rPr>
          <w:spacing w:val="-3"/>
          <w:vertAlign w:val="baseline"/>
        </w:rPr>
        <w:t> </w:t>
      </w:r>
      <w:r>
        <w:rPr>
          <w:vertAlign w:val="baseline"/>
        </w:rPr>
        <w:t>10</w:t>
      </w: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logarithmic</w:t>
      </w:r>
      <w:r>
        <w:rPr>
          <w:spacing w:val="-3"/>
          <w:vertAlign w:val="baseline"/>
        </w:rPr>
        <w:t> </w:t>
      </w:r>
      <w:r>
        <w:rPr>
          <w:vertAlign w:val="baseline"/>
        </w:rPr>
        <w:t>scale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CD8</w:t>
      </w:r>
      <w:r>
        <w:rPr>
          <w:spacing w:val="-3"/>
          <w:vertAlign w:val="baseline"/>
        </w:rPr>
        <w:t> </w:t>
      </w:r>
      <w:r>
        <w:rPr>
          <w:vertAlign w:val="baseline"/>
        </w:rPr>
        <w:t>positive</w:t>
      </w:r>
      <w:r>
        <w:rPr>
          <w:spacing w:val="-3"/>
          <w:vertAlign w:val="baseline"/>
        </w:rPr>
        <w:t> </w:t>
      </w:r>
      <w:r>
        <w:rPr>
          <w:vertAlign w:val="baseline"/>
        </w:rPr>
        <w:t>cells</w:t>
      </w:r>
      <w:r>
        <w:rPr>
          <w:spacing w:val="-4"/>
          <w:vertAlign w:val="baseline"/>
        </w:rPr>
        <w:t> </w:t>
      </w:r>
      <w:r>
        <w:rPr>
          <w:vertAlign w:val="baseline"/>
        </w:rPr>
        <w:t>(T</w:t>
      </w:r>
      <w:r>
        <w:rPr>
          <w:spacing w:val="-3"/>
          <w:vertAlign w:val="baseline"/>
        </w:rPr>
        <w:t> </w:t>
      </w:r>
      <w:r>
        <w:rPr>
          <w:vertAlign w:val="baseline"/>
        </w:rPr>
        <w:t>cytotoxic</w:t>
      </w:r>
      <w:r>
        <w:rPr>
          <w:spacing w:val="-1"/>
          <w:vertAlign w:val="baseline"/>
        </w:rPr>
        <w:t> </w:t>
      </w:r>
      <w:r>
        <w:rPr>
          <w:vertAlign w:val="baseline"/>
        </w:rPr>
        <w:t>lymphocytes</w:t>
      </w:r>
      <w:r>
        <w:rPr>
          <w:spacing w:val="-3"/>
          <w:vertAlign w:val="baseline"/>
        </w:rPr>
        <w:t> </w:t>
      </w:r>
      <w:r>
        <w:rPr>
          <w:vertAlign w:val="baseline"/>
        </w:rPr>
        <w:t>were identified as events with APC fluorescence above 10</w:t>
      </w:r>
      <w:r>
        <w:rPr>
          <w:vertAlign w:val="superscript"/>
        </w:rPr>
        <w:t>3</w:t>
      </w:r>
      <w:r>
        <w:rPr>
          <w:vertAlign w:val="baseline"/>
        </w:rPr>
        <w:t> on logarithmic scale. IFN – γ </w:t>
      </w:r>
      <w:r>
        <w:rPr>
          <w:vertAlign w:val="superscript"/>
        </w:rPr>
        <w:t>pos</w:t>
      </w:r>
      <w:r>
        <w:rPr>
          <w:vertAlign w:val="baseline"/>
        </w:rPr>
        <w:t> cells were identified as cells positive for PeCy7 above 10</w:t>
      </w:r>
      <w:r>
        <w:rPr>
          <w:vertAlign w:val="superscript"/>
        </w:rPr>
        <w:t>3</w:t>
      </w:r>
      <w:r>
        <w:rPr>
          <w:spacing w:val="-18"/>
          <w:vertAlign w:val="baseline"/>
        </w:rPr>
        <w:t> </w:t>
      </w:r>
      <w:r>
        <w:rPr>
          <w:vertAlign w:val="baseline"/>
        </w:rPr>
        <w:t>respectively from gate CD3 (S4a), CD4(S5a), CD8(S6a). TNF -α </w:t>
      </w:r>
      <w:r>
        <w:rPr>
          <w:vertAlign w:val="superscript"/>
        </w:rPr>
        <w:t>pos</w:t>
      </w:r>
      <w:r>
        <w:rPr>
          <w:vertAlign w:val="baseline"/>
        </w:rPr>
        <w:t> cells were identified as cells positive for PeCy7 above 10</w:t>
      </w:r>
      <w:r>
        <w:rPr>
          <w:vertAlign w:val="superscript"/>
        </w:rPr>
        <w:t>3</w:t>
      </w:r>
      <w:r>
        <w:rPr>
          <w:spacing w:val="-16"/>
          <w:vertAlign w:val="baseline"/>
        </w:rPr>
        <w:t> </w:t>
      </w:r>
      <w:r>
        <w:rPr>
          <w:vertAlign w:val="baseline"/>
        </w:rPr>
        <w:t>respectively from gate CD3(S7a), CD4(S8a), CD8(S9a). FMO controls are represented on S4, S5, S6, S7, S8 histograms.</w:t>
      </w:r>
    </w:p>
    <w:sectPr>
      <w:pgSz w:w="11910" w:h="16840"/>
      <w:pgMar w:top="15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Zych</dc:creator>
  <dcterms:created xsi:type="dcterms:W3CDTF">2024-03-14T13:08:40Z</dcterms:created>
  <dcterms:modified xsi:type="dcterms:W3CDTF">2024-03-14T13:08:40Z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dla Office 365</vt:lpwstr>
  </property>
</Properties>
</file>