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87F0" w14:textId="77777777" w:rsidR="00395673" w:rsidRDefault="00395673" w:rsidP="006D631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17BE7">
        <w:rPr>
          <w:rFonts w:ascii="Times New Roman" w:hAnsi="Times New Roman" w:cs="Times New Roman"/>
          <w:b/>
          <w:bCs/>
          <w:sz w:val="32"/>
          <w:szCs w:val="32"/>
        </w:rPr>
        <w:t>Higher expression of SPP1 predicts poorer survival outcomes in Head and Neck Cancer</w:t>
      </w:r>
    </w:p>
    <w:p w14:paraId="69E1F4AD" w14:textId="77777777" w:rsidR="00395673" w:rsidRDefault="00395673"/>
    <w:p w14:paraId="1C747FAB" w14:textId="77777777" w:rsidR="00395673" w:rsidRPr="00317BE7" w:rsidRDefault="00395673" w:rsidP="006D63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7BE7">
        <w:rPr>
          <w:rFonts w:ascii="Times New Roman" w:hAnsi="Times New Roman" w:cs="Times New Roman"/>
          <w:b/>
          <w:bCs/>
          <w:sz w:val="28"/>
          <w:szCs w:val="28"/>
        </w:rPr>
        <w:t>Immunofluorescence staining</w:t>
      </w:r>
    </w:p>
    <w:p w14:paraId="3C528F66" w14:textId="77777777" w:rsidR="00395673" w:rsidRPr="00317BE7" w:rsidRDefault="00395673" w:rsidP="006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17BE7">
        <w:rPr>
          <w:rFonts w:ascii="Times New Roman" w:hAnsi="Times New Roman" w:cs="Times New Roman"/>
          <w:sz w:val="28"/>
          <w:szCs w:val="28"/>
        </w:rPr>
        <w:t xml:space="preserve">ells were fixed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317BE7">
        <w:rPr>
          <w:rFonts w:ascii="Times New Roman" w:hAnsi="Times New Roman" w:cs="Times New Roman"/>
          <w:sz w:val="28"/>
          <w:szCs w:val="28"/>
        </w:rPr>
        <w:t xml:space="preserve"> 4% paraformaldehyde</w:t>
      </w:r>
      <w:r>
        <w:rPr>
          <w:rFonts w:ascii="Times New Roman" w:hAnsi="Times New Roman" w:cs="Times New Roman"/>
          <w:sz w:val="28"/>
          <w:szCs w:val="28"/>
        </w:rPr>
        <w:t xml:space="preserve"> (PFA)</w:t>
      </w:r>
      <w:r w:rsidRPr="00317BE7">
        <w:rPr>
          <w:rFonts w:ascii="Times New Roman" w:hAnsi="Times New Roman" w:cs="Times New Roman"/>
          <w:sz w:val="28"/>
          <w:szCs w:val="28"/>
        </w:rPr>
        <w:t xml:space="preserve"> for 15 minutes, </w:t>
      </w:r>
      <w:r>
        <w:rPr>
          <w:rFonts w:ascii="Times New Roman" w:hAnsi="Times New Roman" w:cs="Times New Roman"/>
          <w:sz w:val="28"/>
          <w:szCs w:val="28"/>
        </w:rPr>
        <w:t>rinsed</w:t>
      </w:r>
      <w:r w:rsidRPr="00317BE7">
        <w:rPr>
          <w:rFonts w:ascii="Times New Roman" w:hAnsi="Times New Roman" w:cs="Times New Roman"/>
          <w:sz w:val="28"/>
          <w:szCs w:val="28"/>
        </w:rPr>
        <w:t xml:space="preserve"> with phosphate‐buffered saline (PBS) containing 0.1% Tween‐20, permeabilized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317BE7">
        <w:rPr>
          <w:rFonts w:ascii="Times New Roman" w:hAnsi="Times New Roman" w:cs="Times New Roman"/>
          <w:sz w:val="28"/>
          <w:szCs w:val="28"/>
        </w:rPr>
        <w:t xml:space="preserve"> 0.3% Triton X‐100, blocked with 5% bovine serum albumin (BSA), incubated with primary antibodies at 4°C overnight, and were subsequently incubated with fluorescently labeled secondary antibodies at room temperature for 1 hour. The nuclei were stained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r w:rsidRPr="00317BE7">
        <w:rPr>
          <w:rFonts w:ascii="Times New Roman" w:hAnsi="Times New Roman" w:cs="Times New Roman"/>
          <w:sz w:val="28"/>
          <w:szCs w:val="28"/>
        </w:rPr>
        <w:t xml:space="preserve"> using 4′,6‐diamidino‐2‐phenylindole (DAPI)</w:t>
      </w:r>
      <w:r>
        <w:rPr>
          <w:rFonts w:ascii="Times New Roman" w:hAnsi="Times New Roman" w:cs="Times New Roman"/>
          <w:sz w:val="28"/>
          <w:szCs w:val="28"/>
        </w:rPr>
        <w:t xml:space="preserve"> for 4 minutes</w:t>
      </w:r>
      <w:r w:rsidRPr="00317BE7">
        <w:rPr>
          <w:rFonts w:ascii="Times New Roman" w:hAnsi="Times New Roman" w:cs="Times New Roman"/>
          <w:sz w:val="28"/>
          <w:szCs w:val="28"/>
        </w:rPr>
        <w:t xml:space="preserve">. All slides were </w:t>
      </w:r>
      <w:proofErr w:type="gramStart"/>
      <w:r w:rsidRPr="00317BE7">
        <w:rPr>
          <w:rFonts w:ascii="Times New Roman" w:hAnsi="Times New Roman" w:cs="Times New Roman"/>
          <w:sz w:val="28"/>
          <w:szCs w:val="28"/>
        </w:rPr>
        <w:t>mounted</w:t>
      </w:r>
      <w:proofErr w:type="gramEnd"/>
      <w:r w:rsidRPr="00317BE7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images were acquired</w:t>
      </w:r>
      <w:r w:rsidRPr="00317BE7">
        <w:rPr>
          <w:rFonts w:ascii="Times New Roman" w:hAnsi="Times New Roman" w:cs="Times New Roman"/>
          <w:sz w:val="28"/>
          <w:szCs w:val="28"/>
        </w:rPr>
        <w:t xml:space="preserve"> using a</w:t>
      </w:r>
      <w:r w:rsidRPr="006F5C5D">
        <w:rPr>
          <w:rFonts w:ascii="Times New Roman" w:hAnsi="Times New Roman" w:cs="Times New Roman"/>
          <w:sz w:val="28"/>
          <w:szCs w:val="28"/>
        </w:rPr>
        <w:t xml:space="preserve"> </w:t>
      </w:r>
      <w:r w:rsidRPr="00317BE7">
        <w:rPr>
          <w:rFonts w:ascii="Times New Roman" w:hAnsi="Times New Roman" w:cs="Times New Roman"/>
          <w:sz w:val="28"/>
          <w:szCs w:val="28"/>
        </w:rPr>
        <w:t>Zeiss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Axiovert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Pr="00317BE7">
        <w:rPr>
          <w:rFonts w:ascii="Times New Roman" w:hAnsi="Times New Roman" w:cs="Times New Roman"/>
          <w:sz w:val="28"/>
          <w:szCs w:val="28"/>
        </w:rPr>
        <w:t xml:space="preserve"> confocal microscope.</w:t>
      </w:r>
    </w:p>
    <w:p w14:paraId="46541272" w14:textId="77777777" w:rsidR="00395673" w:rsidRPr="00317BE7" w:rsidRDefault="00395673" w:rsidP="006D63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7BE7">
        <w:rPr>
          <w:rFonts w:ascii="Times New Roman" w:hAnsi="Times New Roman" w:cs="Times New Roman"/>
          <w:b/>
          <w:bCs/>
          <w:sz w:val="28"/>
          <w:szCs w:val="28"/>
        </w:rPr>
        <w:t>Immunohistochemistry</w:t>
      </w:r>
    </w:p>
    <w:p w14:paraId="225489D0" w14:textId="77777777" w:rsidR="00395673" w:rsidRDefault="00395673" w:rsidP="006D631B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317BE7">
        <w:rPr>
          <w:rFonts w:ascii="Times New Roman" w:hAnsi="Times New Roman" w:cs="Times New Roman"/>
          <w:sz w:val="28"/>
          <w:szCs w:val="28"/>
        </w:rPr>
        <w:t xml:space="preserve">Immunohistochemistry (IHC) was performed on </w:t>
      </w:r>
      <w:r>
        <w:rPr>
          <w:rFonts w:ascii="Times New Roman" w:hAnsi="Times New Roman" w:cs="Times New Roman"/>
          <w:sz w:val="28"/>
          <w:szCs w:val="28"/>
        </w:rPr>
        <w:t>paraffin-embedded</w:t>
      </w:r>
      <w:r w:rsidRPr="00317BE7">
        <w:rPr>
          <w:rFonts w:ascii="Times New Roman" w:hAnsi="Times New Roman" w:cs="Times New Roman"/>
          <w:sz w:val="28"/>
          <w:szCs w:val="28"/>
        </w:rPr>
        <w:t xml:space="preserve"> sections from tumor tissues of nude mice xenografts.</w:t>
      </w:r>
      <w:bookmarkEnd w:id="0"/>
      <w:r w:rsidRPr="00317BE7">
        <w:rPr>
          <w:rFonts w:ascii="Times New Roman" w:hAnsi="Times New Roman" w:cs="Times New Roman"/>
          <w:sz w:val="28"/>
          <w:szCs w:val="28"/>
        </w:rPr>
        <w:t xml:space="preserve"> Tissue sections were blocked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317BE7">
        <w:rPr>
          <w:rFonts w:ascii="Times New Roman" w:hAnsi="Times New Roman" w:cs="Times New Roman"/>
          <w:sz w:val="28"/>
          <w:szCs w:val="28"/>
        </w:rPr>
        <w:t xml:space="preserve"> 10% goat serum </w:t>
      </w:r>
      <w:r>
        <w:rPr>
          <w:rFonts w:ascii="Times New Roman" w:hAnsi="Times New Roman" w:cs="Times New Roman"/>
          <w:sz w:val="28"/>
          <w:szCs w:val="28"/>
        </w:rPr>
        <w:t xml:space="preserve">supplemented </w:t>
      </w:r>
      <w:r w:rsidRPr="00317BE7">
        <w:rPr>
          <w:rFonts w:ascii="Times New Roman" w:hAnsi="Times New Roman" w:cs="Times New Roman"/>
          <w:sz w:val="28"/>
          <w:szCs w:val="28"/>
        </w:rPr>
        <w:t xml:space="preserve">with 0.3% Triton X‐100% and 1% (w/v) BSA for 2 hours at room </w:t>
      </w:r>
      <w:proofErr w:type="gramStart"/>
      <w:r w:rsidRPr="00317BE7">
        <w:rPr>
          <w:rFonts w:ascii="Times New Roman" w:hAnsi="Times New Roman" w:cs="Times New Roman"/>
          <w:sz w:val="28"/>
          <w:szCs w:val="28"/>
        </w:rPr>
        <w:t>temperature, and</w:t>
      </w:r>
      <w:proofErr w:type="gramEnd"/>
      <w:r w:rsidRPr="00317BE7">
        <w:rPr>
          <w:rFonts w:ascii="Times New Roman" w:hAnsi="Times New Roman" w:cs="Times New Roman"/>
          <w:sz w:val="28"/>
          <w:szCs w:val="28"/>
        </w:rPr>
        <w:t xml:space="preserve"> incubated overnight at 4°C with primary antibodies against SPP1 (1:200; Millipore). The sections were incubated with </w:t>
      </w:r>
      <w:r>
        <w:rPr>
          <w:rFonts w:ascii="Times New Roman" w:hAnsi="Times New Roman" w:cs="Times New Roman"/>
          <w:sz w:val="28"/>
          <w:szCs w:val="28"/>
        </w:rPr>
        <w:t xml:space="preserve">corresponding </w:t>
      </w:r>
      <w:r w:rsidRPr="00317BE7">
        <w:rPr>
          <w:rFonts w:ascii="Times New Roman" w:hAnsi="Times New Roman" w:cs="Times New Roman"/>
          <w:sz w:val="28"/>
          <w:szCs w:val="28"/>
        </w:rPr>
        <w:t xml:space="preserve">biotinylated secondary antibodies.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17BE7">
        <w:rPr>
          <w:rFonts w:ascii="Times New Roman" w:hAnsi="Times New Roman" w:cs="Times New Roman"/>
          <w:sz w:val="28"/>
          <w:szCs w:val="28"/>
        </w:rPr>
        <w:t xml:space="preserve">taining was visualized </w:t>
      </w:r>
      <w:r>
        <w:rPr>
          <w:rFonts w:ascii="Times New Roman" w:hAnsi="Times New Roman" w:cs="Times New Roman"/>
          <w:sz w:val="28"/>
          <w:szCs w:val="28"/>
        </w:rPr>
        <w:t>by</w:t>
      </w:r>
      <w:r w:rsidRPr="0031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3,3’-</w:t>
      </w:r>
      <w:r w:rsidRPr="00317BE7">
        <w:rPr>
          <w:rFonts w:ascii="Times New Roman" w:hAnsi="Times New Roman" w:cs="Times New Roman"/>
          <w:sz w:val="28"/>
          <w:szCs w:val="28"/>
        </w:rPr>
        <w:t>diaminobenzidine (</w:t>
      </w:r>
      <w:r>
        <w:rPr>
          <w:rFonts w:ascii="Times New Roman" w:hAnsi="Times New Roman" w:cs="Times New Roman"/>
          <w:sz w:val="28"/>
          <w:szCs w:val="28"/>
        </w:rPr>
        <w:t xml:space="preserve">DAB, </w:t>
      </w:r>
      <w:r w:rsidRPr="00317BE7">
        <w:rPr>
          <w:rFonts w:ascii="Times New Roman" w:hAnsi="Times New Roman" w:cs="Times New Roman"/>
          <w:sz w:val="28"/>
          <w:szCs w:val="28"/>
        </w:rPr>
        <w:t xml:space="preserve">Vector Laboratories). </w:t>
      </w:r>
      <w:r>
        <w:rPr>
          <w:rFonts w:ascii="Times New Roman" w:hAnsi="Times New Roman" w:cs="Times New Roman"/>
          <w:sz w:val="28"/>
          <w:szCs w:val="28"/>
        </w:rPr>
        <w:t xml:space="preserve">The staining intensity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seperately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scored: 0, no staining; 1, weak staining (light yellow); 2, moderate staining (yellow </w:t>
      </w:r>
      <w:r>
        <w:rPr>
          <w:rFonts w:ascii="Times New Roman" w:hAnsi="Times New Roman" w:cs="Times New Roman"/>
          <w:sz w:val="28"/>
          <w:szCs w:val="28"/>
        </w:rPr>
        <w:lastRenderedPageBreak/>
        <w:t>brown); 3, strong staining (brown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53402">
        <w:rPr>
          <w:rFonts w:ascii="Times New Roman" w:hAnsi="Times New Roman" w:cs="Times New Roman"/>
          <w:noProof/>
          <w:sz w:val="28"/>
          <w:szCs w:val="28"/>
          <w:vertAlign w:val="superscript"/>
        </w:rPr>
        <w:t>[</w:t>
      </w:r>
      <w:proofErr w:type="gramEnd"/>
      <w:r w:rsidRPr="00C53402">
        <w:rPr>
          <w:rFonts w:ascii="Times New Roman" w:hAnsi="Times New Roman" w:cs="Times New Roman"/>
          <w:noProof/>
          <w:sz w:val="28"/>
          <w:szCs w:val="28"/>
          <w:vertAlign w:val="superscript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7C7B5" w14:textId="77777777" w:rsidR="00395673" w:rsidRPr="00317BE7" w:rsidRDefault="00395673" w:rsidP="005A26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Western blot analysis</w:t>
      </w:r>
    </w:p>
    <w:p w14:paraId="16F527C0" w14:textId="77777777" w:rsidR="00395673" w:rsidRPr="005A26C1" w:rsidRDefault="00395673" w:rsidP="006D631B">
      <w:pPr>
        <w:rPr>
          <w:rFonts w:ascii="Times New Roman" w:hAnsi="Times New Roman" w:cs="Times New Roman"/>
          <w:sz w:val="28"/>
          <w:szCs w:val="28"/>
        </w:rPr>
      </w:pPr>
      <w:bookmarkStart w:id="1" w:name="_Hlk87357535"/>
      <w:r w:rsidRPr="005A26C1">
        <w:rPr>
          <w:rFonts w:ascii="Times New Roman" w:hAnsi="Times New Roman" w:cs="Times New Roman"/>
          <w:sz w:val="28"/>
          <w:szCs w:val="28"/>
        </w:rPr>
        <w:t xml:space="preserve">Utilized RIPA lysis buffer with 1% 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phenylmethanesulfonyl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 fluoride (PMSF) and DL-dithiothreitol (DTT) to extracted total protein. The BCA protein assay kit (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Beyotime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 Biotechnology) was used to determine the concentration of the protein lysate. Equivalent (30 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μg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) protein was isolated by 10% SDS-PAGE. Then, the proteins were transferred to PVDF membranes (0.45 mm; Beijing 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Solarbio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 Science &amp; Technology Co., China). Before incubated the membranes with </w:t>
      </w:r>
      <w:r>
        <w:rPr>
          <w:rFonts w:ascii="Times New Roman" w:hAnsi="Times New Roman" w:cs="Times New Roman"/>
          <w:sz w:val="28"/>
          <w:szCs w:val="28"/>
        </w:rPr>
        <w:t>SPP1</w:t>
      </w:r>
      <w:r w:rsidRPr="005A26C1">
        <w:rPr>
          <w:rFonts w:ascii="Times New Roman" w:hAnsi="Times New Roman" w:cs="Times New Roman"/>
          <w:sz w:val="28"/>
          <w:szCs w:val="28"/>
        </w:rPr>
        <w:t xml:space="preserve"> antibodies (1:1000, R&amp;D Systems, MN, USA) at 4 °C for 12 h, the membranes were blocked at room temperature with 5% BSA for 1 h. Then GAPDH rabbit polyclonal antibody (1:4000, 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Proteintech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, USA) was utilized as a loading control for normalization. HRP-conjugated secondary anti-rabbit antibody (1:4000; 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ProteinTech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 xml:space="preserve"> Group) was incubated at room temperature about 1 h. Finally, the bands were placed on an Omega Lum G machine (</w:t>
      </w:r>
      <w:proofErr w:type="spellStart"/>
      <w:r w:rsidRPr="005A26C1">
        <w:rPr>
          <w:rFonts w:ascii="Times New Roman" w:hAnsi="Times New Roman" w:cs="Times New Roman"/>
          <w:sz w:val="28"/>
          <w:szCs w:val="28"/>
        </w:rPr>
        <w:t>Aplegen</w:t>
      </w:r>
      <w:proofErr w:type="spellEnd"/>
      <w:r w:rsidRPr="005A26C1">
        <w:rPr>
          <w:rFonts w:ascii="Times New Roman" w:hAnsi="Times New Roman" w:cs="Times New Roman"/>
          <w:sz w:val="28"/>
          <w:szCs w:val="28"/>
        </w:rPr>
        <w:t>, USA) and visualized using ECL reagents (Thermo Fisher Scientific).</w:t>
      </w:r>
    </w:p>
    <w:bookmarkEnd w:id="1"/>
    <w:p w14:paraId="56029EAE" w14:textId="77777777" w:rsidR="00395673" w:rsidRDefault="00395673"/>
    <w:p w14:paraId="3D8E6050" w14:textId="77777777" w:rsidR="00395673" w:rsidRDefault="00395673"/>
    <w:p w14:paraId="1A11B482" w14:textId="77777777" w:rsidR="00395673" w:rsidRPr="002826C8" w:rsidRDefault="00395673" w:rsidP="00C53402">
      <w:pPr>
        <w:pStyle w:val="EndNoteBibliography"/>
        <w:ind w:left="720" w:hanging="720"/>
        <w:rPr>
          <w:highlight w:val="yellow"/>
        </w:rPr>
      </w:pPr>
    </w:p>
    <w:p w14:paraId="344691BB" w14:textId="39CDAAEA" w:rsidR="00395673" w:rsidRPr="00E7303A" w:rsidRDefault="00E730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03A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14:paraId="125176BF" w14:textId="547B56D6" w:rsidR="006A49B6" w:rsidRDefault="00E7303A">
      <w:r>
        <w:rPr>
          <w:rFonts w:ascii="Segoe UI" w:hAnsi="Segoe UI" w:cs="Segoe UI"/>
          <w:color w:val="212121"/>
          <w:shd w:val="clear" w:color="auto" w:fill="FFFFFF"/>
        </w:rPr>
        <w:t xml:space="preserve">1. </w:t>
      </w:r>
      <w:bookmarkStart w:id="2" w:name="_GoBack"/>
      <w:bookmarkEnd w:id="2"/>
      <w:r>
        <w:rPr>
          <w:rFonts w:ascii="Segoe UI" w:hAnsi="Segoe UI" w:cs="Segoe UI"/>
          <w:color w:val="212121"/>
          <w:shd w:val="clear" w:color="auto" w:fill="FFFFFF"/>
        </w:rPr>
        <w:t>Meng XM, Zhou Y, Dang T, Tian XY, Kong J. Magnifying chromoendoscopy combined with immunohistochemical staining for early diagnosis of gastric cancer. World J Gastroenterol. 2013 Jan 21;19(3):404-10.</w:t>
      </w:r>
    </w:p>
    <w:sectPr w:rsidR="006A4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924B" w14:textId="77777777" w:rsidR="00886F22" w:rsidRDefault="00886F22" w:rsidP="00E7303A">
      <w:r>
        <w:separator/>
      </w:r>
    </w:p>
  </w:endnote>
  <w:endnote w:type="continuationSeparator" w:id="0">
    <w:p w14:paraId="40D1BF56" w14:textId="77777777" w:rsidR="00886F22" w:rsidRDefault="00886F22" w:rsidP="00E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A957" w14:textId="77777777" w:rsidR="00886F22" w:rsidRDefault="00886F22" w:rsidP="00E7303A">
      <w:r>
        <w:separator/>
      </w:r>
    </w:p>
  </w:footnote>
  <w:footnote w:type="continuationSeparator" w:id="0">
    <w:p w14:paraId="7ECA7CFA" w14:textId="77777777" w:rsidR="00886F22" w:rsidRDefault="00886F22" w:rsidP="00E7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5673"/>
    <w:rsid w:val="00395673"/>
    <w:rsid w:val="006A49B6"/>
    <w:rsid w:val="00886F22"/>
    <w:rsid w:val="00E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A67B"/>
  <w15:chartTrackingRefBased/>
  <w15:docId w15:val="{9D6EF999-0A04-4389-B2CB-04027E4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67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39567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9567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9567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95673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3A8D-6AC8-43B2-BFF4-7CDDC89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锦程</dc:creator>
  <cp:keywords/>
  <dc:description/>
  <cp:lastModifiedBy>王 锦程</cp:lastModifiedBy>
  <cp:revision>2</cp:revision>
  <dcterms:created xsi:type="dcterms:W3CDTF">2021-11-09T05:41:00Z</dcterms:created>
  <dcterms:modified xsi:type="dcterms:W3CDTF">2021-11-09T05:54:00Z</dcterms:modified>
</cp:coreProperties>
</file>