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516" w:rsidRDefault="00620035" w:rsidP="00657278">
      <w:pPr>
        <w:jc w:val="both"/>
        <w:rPr>
          <w:b/>
          <w:lang w:val="en-US"/>
        </w:rPr>
      </w:pPr>
      <w:r w:rsidRPr="00620035">
        <w:rPr>
          <w:b/>
          <w:lang w:val="en-US"/>
        </w:rPr>
        <w:t>Supplementary Data</w:t>
      </w:r>
    </w:p>
    <w:p w:rsidR="003F5848" w:rsidRDefault="003F5848" w:rsidP="00657278">
      <w:pPr>
        <w:spacing w:line="480" w:lineRule="auto"/>
        <w:jc w:val="both"/>
        <w:rPr>
          <w:rFonts w:ascii="Times New Roman" w:hAnsi="Times New Roman" w:cs="Times New Roman"/>
          <w:b/>
          <w:sz w:val="20"/>
          <w:szCs w:val="20"/>
          <w:lang w:val="en-US"/>
        </w:rPr>
      </w:pPr>
    </w:p>
    <w:p w:rsidR="00B979C7" w:rsidRDefault="00B979C7" w:rsidP="00657278">
      <w:pPr>
        <w:spacing w:line="48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Scheme 1. Design of the </w:t>
      </w:r>
      <w:r w:rsidR="00400964">
        <w:rPr>
          <w:rFonts w:ascii="Times New Roman" w:hAnsi="Times New Roman" w:cs="Times New Roman"/>
          <w:b/>
          <w:sz w:val="20"/>
          <w:szCs w:val="20"/>
          <w:lang w:val="en-US"/>
        </w:rPr>
        <w:t>pooling strategy adopted with the withdrawal obtained after</w:t>
      </w:r>
      <w:bookmarkStart w:id="0" w:name="_GoBack"/>
      <w:bookmarkEnd w:id="0"/>
      <w:r w:rsidR="00400964">
        <w:rPr>
          <w:rFonts w:ascii="Times New Roman" w:hAnsi="Times New Roman" w:cs="Times New Roman"/>
          <w:b/>
          <w:sz w:val="20"/>
          <w:szCs w:val="20"/>
          <w:lang w:val="en-US"/>
        </w:rPr>
        <w:t xml:space="preserve"> each meal in order to </w:t>
      </w:r>
      <w:r>
        <w:rPr>
          <w:rFonts w:ascii="Times New Roman" w:hAnsi="Times New Roman" w:cs="Times New Roman"/>
          <w:b/>
          <w:sz w:val="20"/>
          <w:szCs w:val="20"/>
          <w:lang w:val="en-US"/>
        </w:rPr>
        <w:t>get the samples used for the experiments with the HCAECs ”in vitro”.</w:t>
      </w:r>
    </w:p>
    <w:p w:rsidR="00657278" w:rsidRDefault="00E80C8F" w:rsidP="00657278">
      <w:pPr>
        <w:spacing w:line="480" w:lineRule="auto"/>
        <w:jc w:val="both"/>
        <w:rPr>
          <w:rFonts w:ascii="Times New Roman" w:hAnsi="Times New Roman" w:cs="Times New Roman"/>
          <w:b/>
          <w:sz w:val="20"/>
          <w:szCs w:val="20"/>
          <w:lang w:val="en-US"/>
        </w:rPr>
      </w:pPr>
      <w:r>
        <w:rPr>
          <w:rFonts w:ascii="Times New Roman" w:hAnsi="Times New Roman" w:cs="Times New Roman"/>
          <w:b/>
          <w:noProof/>
          <w:sz w:val="20"/>
          <w:szCs w:val="20"/>
          <w:lang w:val="en-US"/>
        </w:rPr>
        <w:drawing>
          <wp:inline distT="0" distB="0" distL="0" distR="0" wp14:anchorId="20937DC0">
            <wp:extent cx="2943225" cy="317137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1256" cy="3180028"/>
                    </a:xfrm>
                    <a:prstGeom prst="rect">
                      <a:avLst/>
                    </a:prstGeom>
                    <a:noFill/>
                  </pic:spPr>
                </pic:pic>
              </a:graphicData>
            </a:graphic>
          </wp:inline>
        </w:drawing>
      </w:r>
    </w:p>
    <w:p w:rsidR="00657278" w:rsidRPr="00657278" w:rsidRDefault="00657278" w:rsidP="00657278">
      <w:pPr>
        <w:spacing w:line="480" w:lineRule="auto"/>
        <w:jc w:val="both"/>
        <w:rPr>
          <w:rFonts w:ascii="Times New Roman" w:hAnsi="Times New Roman" w:cs="Times New Roman"/>
          <w:b/>
          <w:lang w:val="en-US"/>
        </w:rPr>
      </w:pPr>
      <w:r w:rsidRPr="00657278">
        <w:rPr>
          <w:rFonts w:ascii="Times New Roman" w:hAnsi="Times New Roman" w:cs="Times New Roman"/>
          <w:b/>
          <w:lang w:val="en-US"/>
        </w:rPr>
        <w:t>Determination of fatty acids composition in pork meat</w:t>
      </w:r>
    </w:p>
    <w:p w:rsidR="003F5848" w:rsidRPr="00657278" w:rsidRDefault="008F2958" w:rsidP="00657278">
      <w:pPr>
        <w:spacing w:line="480" w:lineRule="auto"/>
        <w:jc w:val="both"/>
        <w:rPr>
          <w:rFonts w:ascii="Times New Roman" w:hAnsi="Times New Roman"/>
          <w:i/>
          <w:sz w:val="20"/>
          <w:szCs w:val="24"/>
          <w:lang w:val="en-US"/>
        </w:rPr>
      </w:pPr>
      <w:r w:rsidRPr="00657278">
        <w:rPr>
          <w:rFonts w:ascii="Times New Roman" w:hAnsi="Times New Roman" w:cs="Times New Roman"/>
          <w:i/>
          <w:sz w:val="20"/>
          <w:szCs w:val="20"/>
          <w:lang w:val="en-US"/>
        </w:rPr>
        <w:t xml:space="preserve">Sampling and </w:t>
      </w:r>
      <w:r w:rsidR="003F5848" w:rsidRPr="00657278">
        <w:rPr>
          <w:rFonts w:ascii="Times New Roman" w:hAnsi="Times New Roman"/>
          <w:i/>
          <w:sz w:val="20"/>
          <w:szCs w:val="24"/>
          <w:lang w:val="en-US"/>
        </w:rPr>
        <w:t>Extraction of Total Lipids</w:t>
      </w:r>
      <w:r w:rsidR="00B4357A" w:rsidRPr="00657278">
        <w:rPr>
          <w:rFonts w:ascii="Times New Roman" w:hAnsi="Times New Roman"/>
          <w:i/>
          <w:sz w:val="20"/>
          <w:szCs w:val="24"/>
          <w:lang w:val="en-US"/>
        </w:rPr>
        <w:t xml:space="preserve"> from pork meat</w:t>
      </w:r>
    </w:p>
    <w:p w:rsidR="008F2958" w:rsidRDefault="008F2958" w:rsidP="00657278">
      <w:pPr>
        <w:spacing w:line="480" w:lineRule="auto"/>
        <w:jc w:val="both"/>
        <w:rPr>
          <w:rFonts w:ascii="Times New Roman" w:hAnsi="Times New Roman"/>
          <w:sz w:val="20"/>
          <w:szCs w:val="24"/>
          <w:lang w:val="en-US"/>
        </w:rPr>
      </w:pPr>
      <w:r>
        <w:rPr>
          <w:rFonts w:ascii="Times New Roman" w:hAnsi="Times New Roman"/>
          <w:sz w:val="20"/>
          <w:szCs w:val="24"/>
          <w:lang w:val="en-US"/>
        </w:rPr>
        <w:t>T</w:t>
      </w:r>
      <w:r w:rsidRPr="00761869">
        <w:rPr>
          <w:rFonts w:ascii="Times New Roman" w:hAnsi="Times New Roman"/>
          <w:sz w:val="20"/>
          <w:szCs w:val="24"/>
          <w:lang w:val="en-US"/>
        </w:rPr>
        <w:t>he pork loins were sliced to obtain two chops of about 200 g of weight, which were packed and stored at -18°C for few days until fat extraction.</w:t>
      </w:r>
      <w:r w:rsidR="003F5848">
        <w:rPr>
          <w:rFonts w:ascii="Times New Roman" w:hAnsi="Times New Roman"/>
          <w:sz w:val="20"/>
          <w:szCs w:val="24"/>
          <w:lang w:val="en-US"/>
        </w:rPr>
        <w:t xml:space="preserve"> </w:t>
      </w:r>
      <w:r>
        <w:rPr>
          <w:rFonts w:ascii="Times New Roman" w:hAnsi="Times New Roman"/>
          <w:sz w:val="20"/>
          <w:szCs w:val="24"/>
          <w:lang w:val="en-US"/>
        </w:rPr>
        <w:t>Four fresh pork loins (</w:t>
      </w:r>
      <w:r>
        <w:rPr>
          <w:rFonts w:ascii="Times New Roman" w:hAnsi="Times New Roman"/>
          <w:i/>
          <w:sz w:val="20"/>
          <w:szCs w:val="24"/>
          <w:lang w:val="en-US"/>
        </w:rPr>
        <w:t>Longissimus lumborum</w:t>
      </w:r>
      <w:r w:rsidR="003F5848">
        <w:rPr>
          <w:rFonts w:ascii="Times New Roman" w:hAnsi="Times New Roman"/>
          <w:sz w:val="20"/>
          <w:szCs w:val="24"/>
          <w:lang w:val="en-US"/>
        </w:rPr>
        <w:t xml:space="preserve">) </w:t>
      </w:r>
      <w:r>
        <w:rPr>
          <w:rFonts w:ascii="Times New Roman" w:hAnsi="Times New Roman"/>
          <w:sz w:val="20"/>
          <w:szCs w:val="24"/>
          <w:lang w:val="en-US"/>
        </w:rPr>
        <w:t>were randomly collected (two from male and two from female pigs)</w:t>
      </w:r>
      <w:r>
        <w:rPr>
          <w:rFonts w:ascii="TimesNewRoman" w:hAnsi="TimesNewRoman" w:cs="TimesNewRoman"/>
          <w:sz w:val="20"/>
          <w:szCs w:val="24"/>
          <w:lang w:val="en-US"/>
        </w:rPr>
        <w:t xml:space="preserve"> </w:t>
      </w:r>
      <w:r>
        <w:rPr>
          <w:rFonts w:ascii="Times New Roman" w:hAnsi="Times New Roman"/>
          <w:sz w:val="20"/>
          <w:szCs w:val="24"/>
          <w:lang w:val="en-US"/>
        </w:rPr>
        <w:t>and utilized for lipid extraction. An aliquot (20 g) of each muscle tissue was homogenized in</w:t>
      </w:r>
      <w:r w:rsidRPr="003F5848">
        <w:rPr>
          <w:rFonts w:ascii="Times New Roman" w:hAnsi="Times New Roman"/>
          <w:sz w:val="20"/>
          <w:szCs w:val="24"/>
          <w:lang w:val="en-US"/>
        </w:rPr>
        <w:t xml:space="preserve"> </w:t>
      </w:r>
      <w:r>
        <w:rPr>
          <w:rFonts w:ascii="Times New Roman" w:hAnsi="Times New Roman"/>
          <w:sz w:val="20"/>
          <w:szCs w:val="24"/>
          <w:lang w:val="en-US"/>
        </w:rPr>
        <w:t xml:space="preserve">chloroform − methanol (1:2, v/v) and the lipids were extracted according to Bligh and Dyer </w:t>
      </w:r>
      <w:r w:rsidR="00657278">
        <w:rPr>
          <w:rFonts w:ascii="Times New Roman" w:hAnsi="Times New Roman"/>
          <w:sz w:val="20"/>
          <w:szCs w:val="24"/>
          <w:lang w:val="en-US"/>
        </w:rPr>
        <w:t>method</w:t>
      </w:r>
      <w:r>
        <w:rPr>
          <w:rFonts w:ascii="Times New Roman" w:hAnsi="Times New Roman"/>
          <w:sz w:val="20"/>
          <w:szCs w:val="24"/>
          <w:lang w:val="en-US"/>
        </w:rPr>
        <w:t>.</w:t>
      </w:r>
    </w:p>
    <w:p w:rsidR="008F2958" w:rsidRPr="00657278" w:rsidRDefault="008F2958" w:rsidP="00657278">
      <w:pPr>
        <w:spacing w:line="480" w:lineRule="auto"/>
        <w:jc w:val="both"/>
        <w:rPr>
          <w:rFonts w:ascii="Times New Roman" w:hAnsi="Times New Roman"/>
          <w:i/>
          <w:sz w:val="20"/>
          <w:szCs w:val="24"/>
          <w:lang w:val="en-US"/>
        </w:rPr>
      </w:pPr>
      <w:r w:rsidRPr="00657278">
        <w:rPr>
          <w:rFonts w:ascii="Times New Roman" w:hAnsi="Times New Roman"/>
          <w:i/>
          <w:sz w:val="20"/>
          <w:szCs w:val="24"/>
          <w:lang w:val="en-US"/>
        </w:rPr>
        <w:t xml:space="preserve">Analysis of Fatty Acid Profile. </w:t>
      </w:r>
    </w:p>
    <w:p w:rsidR="008F2958" w:rsidRPr="00A03425" w:rsidRDefault="008F2958" w:rsidP="00657278">
      <w:pPr>
        <w:spacing w:line="480" w:lineRule="auto"/>
        <w:jc w:val="both"/>
        <w:rPr>
          <w:rFonts w:ascii="Times New Roman" w:hAnsi="Times New Roman"/>
          <w:sz w:val="20"/>
          <w:szCs w:val="24"/>
          <w:lang w:val="en-US"/>
        </w:rPr>
      </w:pPr>
      <w:r>
        <w:rPr>
          <w:rFonts w:ascii="Times New Roman" w:hAnsi="Times New Roman"/>
          <w:sz w:val="20"/>
          <w:szCs w:val="24"/>
          <w:lang w:val="en-US"/>
        </w:rPr>
        <w:t xml:space="preserve">Fatty acid methyl esters (FAMEs) were obtained from total lipids through alkaline transmethylation. The qualitative analysis of FAMEs was carried out using a Focus gas chromatograph (Thermo Electron Corporation, West Palm Beach, FL, USA) equipped with a CP-Sil88 fused silica capillary column (100 m × 0.25 mm </w:t>
      </w:r>
      <w:proofErr w:type="spellStart"/>
      <w:r>
        <w:rPr>
          <w:rFonts w:ascii="Times New Roman" w:hAnsi="Times New Roman"/>
          <w:sz w:val="20"/>
          <w:szCs w:val="24"/>
          <w:lang w:val="en-US"/>
        </w:rPr>
        <w:t>i.d.</w:t>
      </w:r>
      <w:proofErr w:type="spellEnd"/>
      <w:r>
        <w:rPr>
          <w:rFonts w:ascii="Times New Roman" w:hAnsi="Times New Roman"/>
          <w:sz w:val="20"/>
          <w:szCs w:val="24"/>
          <w:lang w:val="en-US"/>
        </w:rPr>
        <w:t xml:space="preserve">, film thickness 0.2 </w:t>
      </w:r>
      <w:proofErr w:type="spellStart"/>
      <w:r>
        <w:rPr>
          <w:rFonts w:ascii="Times New Roman" w:hAnsi="Times New Roman"/>
          <w:sz w:val="20"/>
          <w:szCs w:val="24"/>
          <w:lang w:val="en-US"/>
        </w:rPr>
        <w:t>μm</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Chrompack</w:t>
      </w:r>
      <w:proofErr w:type="spellEnd"/>
      <w:r>
        <w:rPr>
          <w:rFonts w:ascii="Times New Roman" w:hAnsi="Times New Roman"/>
          <w:sz w:val="20"/>
          <w:szCs w:val="24"/>
          <w:lang w:val="en-US"/>
        </w:rPr>
        <w:t>, Middelburg, The Netherlands) and a quadrupole mass detector (</w:t>
      </w:r>
      <w:proofErr w:type="spellStart"/>
      <w:r>
        <w:rPr>
          <w:rFonts w:ascii="Times New Roman" w:hAnsi="Times New Roman"/>
          <w:sz w:val="20"/>
          <w:szCs w:val="24"/>
          <w:lang w:val="en-US"/>
        </w:rPr>
        <w:t>FocusDSQ</w:t>
      </w:r>
      <w:proofErr w:type="spellEnd"/>
      <w:r>
        <w:rPr>
          <w:rFonts w:ascii="Times New Roman" w:hAnsi="Times New Roman"/>
          <w:sz w:val="20"/>
          <w:szCs w:val="24"/>
          <w:lang w:val="en-US"/>
        </w:rPr>
        <w:t>). The carrier gas was helium at a flow rate of 1.6 mL min</w:t>
      </w:r>
      <w:r>
        <w:rPr>
          <w:rFonts w:ascii="Times New Roman" w:hAnsi="Times New Roman"/>
          <w:sz w:val="20"/>
          <w:szCs w:val="24"/>
          <w:vertAlign w:val="superscript"/>
          <w:lang w:val="en-US"/>
        </w:rPr>
        <w:t>−1</w:t>
      </w:r>
      <w:r>
        <w:rPr>
          <w:rFonts w:ascii="Times New Roman" w:hAnsi="Times New Roman"/>
          <w:sz w:val="20"/>
          <w:szCs w:val="24"/>
          <w:lang w:val="en-US"/>
        </w:rPr>
        <w:t>; the oven temperature program started from 160 °C, raised to 240 °C at a rate of 4 °C min</w:t>
      </w:r>
      <w:r>
        <w:rPr>
          <w:rFonts w:ascii="Times New Roman" w:hAnsi="Times New Roman"/>
          <w:sz w:val="20"/>
          <w:szCs w:val="24"/>
          <w:vertAlign w:val="superscript"/>
          <w:lang w:val="en-US"/>
        </w:rPr>
        <w:t>−1</w:t>
      </w:r>
      <w:r>
        <w:rPr>
          <w:rFonts w:ascii="Times New Roman" w:hAnsi="Times New Roman"/>
          <w:sz w:val="20"/>
          <w:szCs w:val="24"/>
          <w:lang w:val="en-US"/>
        </w:rPr>
        <w:t xml:space="preserve"> and remained at 240 °C for 10 minutes. The injector temperature was 260 °C. The sample was injected into a split/</w:t>
      </w:r>
      <w:proofErr w:type="spellStart"/>
      <w:r>
        <w:rPr>
          <w:rFonts w:ascii="Times New Roman" w:hAnsi="Times New Roman"/>
          <w:sz w:val="20"/>
          <w:szCs w:val="24"/>
          <w:lang w:val="en-US"/>
        </w:rPr>
        <w:t>splitless</w:t>
      </w:r>
      <w:proofErr w:type="spellEnd"/>
      <w:r>
        <w:rPr>
          <w:rFonts w:ascii="Times New Roman" w:hAnsi="Times New Roman"/>
          <w:sz w:val="20"/>
          <w:szCs w:val="24"/>
          <w:lang w:val="en-US"/>
        </w:rPr>
        <w:t xml:space="preserve"> </w:t>
      </w:r>
      <w:r>
        <w:rPr>
          <w:rFonts w:ascii="Times New Roman" w:hAnsi="Times New Roman"/>
          <w:sz w:val="20"/>
          <w:szCs w:val="24"/>
          <w:lang w:val="en-US"/>
        </w:rPr>
        <w:lastRenderedPageBreak/>
        <w:t xml:space="preserve">system. The ion source temperature of the mass detector was set at 260 °C. The mass spectrum was acquired using </w:t>
      </w:r>
      <w:proofErr w:type="spellStart"/>
      <w:r>
        <w:rPr>
          <w:rFonts w:ascii="Times New Roman" w:hAnsi="Times New Roman"/>
          <w:sz w:val="20"/>
          <w:szCs w:val="24"/>
          <w:lang w:val="en-US"/>
        </w:rPr>
        <w:t>Xcalibur</w:t>
      </w:r>
      <w:proofErr w:type="spellEnd"/>
      <w:r>
        <w:rPr>
          <w:rFonts w:ascii="Times New Roman" w:hAnsi="Times New Roman"/>
          <w:sz w:val="20"/>
          <w:szCs w:val="24"/>
          <w:lang w:val="en-US"/>
        </w:rPr>
        <w:t xml:space="preserve"> Data System ver. 1.4. Peaks were identified by comparison with known standards and using the NIST mass spectral database. The quantitative analysis of FAMEs was performed by means of gas chromatography using a CP-9002 apparatus (</w:t>
      </w:r>
      <w:proofErr w:type="spellStart"/>
      <w:r>
        <w:rPr>
          <w:rFonts w:ascii="Times New Roman" w:hAnsi="Times New Roman"/>
          <w:sz w:val="20"/>
          <w:szCs w:val="24"/>
          <w:lang w:val="en-US"/>
        </w:rPr>
        <w:t>Chrompack</w:t>
      </w:r>
      <w:proofErr w:type="spellEnd"/>
      <w:r>
        <w:rPr>
          <w:rFonts w:ascii="Times New Roman" w:hAnsi="Times New Roman"/>
          <w:sz w:val="20"/>
          <w:szCs w:val="24"/>
          <w:lang w:val="en-US"/>
        </w:rPr>
        <w:t xml:space="preserve">, Middelburg, The Netherlands) equipped with a flame ionization detector (FID) and the same column and operative conditions reported above. The temperature of the detector was set at 260 °C. A </w:t>
      </w:r>
      <w:proofErr w:type="spellStart"/>
      <w:r>
        <w:rPr>
          <w:rFonts w:ascii="Times New Roman" w:hAnsi="Times New Roman"/>
          <w:sz w:val="20"/>
          <w:szCs w:val="24"/>
          <w:lang w:val="en-US"/>
        </w:rPr>
        <w:t>Supelco</w:t>
      </w:r>
      <w:proofErr w:type="spellEnd"/>
      <w:r>
        <w:rPr>
          <w:rFonts w:ascii="Times New Roman" w:hAnsi="Times New Roman"/>
          <w:sz w:val="20"/>
          <w:szCs w:val="24"/>
          <w:lang w:val="en-US"/>
        </w:rPr>
        <w:t xml:space="preserve"> (Bellefonte, PA, USA) standard solution containing a mixture of 37 FAMEs was used for identification of peaks and for the calculation of correction factor of the individual fatty acid peak areas. Fatty acid compositions (</w:t>
      </w:r>
      <w:proofErr w:type="spellStart"/>
      <w:r>
        <w:rPr>
          <w:rFonts w:ascii="Times New Roman" w:hAnsi="Times New Roman"/>
          <w:sz w:val="20"/>
          <w:szCs w:val="24"/>
          <w:lang w:val="en-US"/>
        </w:rPr>
        <w:t>wt</w:t>
      </w:r>
      <w:proofErr w:type="spellEnd"/>
      <w:r>
        <w:rPr>
          <w:rFonts w:ascii="Times New Roman" w:hAnsi="Times New Roman"/>
          <w:sz w:val="20"/>
          <w:szCs w:val="24"/>
          <w:lang w:val="en-US"/>
        </w:rPr>
        <w:t xml:space="preserve"> %) were calculated by the corrected peak area normalization method.</w:t>
      </w:r>
    </w:p>
    <w:p w:rsidR="00657278" w:rsidRPr="00657278" w:rsidRDefault="00657278" w:rsidP="00657278">
      <w:pPr>
        <w:jc w:val="both"/>
        <w:rPr>
          <w:rFonts w:ascii="Times New Roman" w:hAnsi="Times New Roman" w:cs="Times New Roman"/>
          <w:b/>
          <w:lang w:val="en-US"/>
        </w:rPr>
      </w:pPr>
      <w:r w:rsidRPr="00657278">
        <w:rPr>
          <w:rFonts w:ascii="Times New Roman" w:hAnsi="Times New Roman" w:cs="Times New Roman"/>
          <w:b/>
          <w:lang w:val="en-US"/>
        </w:rPr>
        <w:t>Determination of fatty acids composition in the post-prandial serum</w:t>
      </w:r>
    </w:p>
    <w:p w:rsidR="00657278" w:rsidRPr="00B4357A" w:rsidRDefault="00657278" w:rsidP="00657278">
      <w:pPr>
        <w:jc w:val="both"/>
        <w:rPr>
          <w:rFonts w:ascii="Times New Roman" w:hAnsi="Times New Roman" w:cs="Times New Roman"/>
          <w:i/>
          <w:lang w:val="en-US"/>
        </w:rPr>
      </w:pPr>
      <w:r w:rsidRPr="00B4357A">
        <w:rPr>
          <w:rFonts w:ascii="Times New Roman" w:hAnsi="Times New Roman" w:cs="Times New Roman"/>
          <w:i/>
          <w:lang w:val="en-US"/>
        </w:rPr>
        <w:t>Transmethylation of serum fatty acids by boron trifluoride</w:t>
      </w:r>
    </w:p>
    <w:p w:rsidR="00657278" w:rsidRPr="00657278" w:rsidRDefault="00657278" w:rsidP="00657278">
      <w:pPr>
        <w:spacing w:line="480" w:lineRule="auto"/>
        <w:jc w:val="both"/>
        <w:rPr>
          <w:rFonts w:ascii="Times New Roman" w:hAnsi="Times New Roman"/>
          <w:sz w:val="20"/>
          <w:szCs w:val="24"/>
          <w:lang w:val="en-US"/>
        </w:rPr>
      </w:pPr>
      <w:r w:rsidRPr="00657278">
        <w:rPr>
          <w:rFonts w:ascii="Times New Roman" w:hAnsi="Times New Roman"/>
          <w:sz w:val="20"/>
          <w:szCs w:val="24"/>
          <w:lang w:val="en-US"/>
        </w:rPr>
        <w:t xml:space="preserve">Transmethylation reaction is performed following the method described by Harris et al. with some slight modification. 100 µl of serum and 10 µl of internal standard solution (1.43 mg/ml nonadecanoic acid (Sigma Aldrich®) in toluene) are freeze-dried in a 2 </w:t>
      </w:r>
      <w:proofErr w:type="gramStart"/>
      <w:r w:rsidRPr="00657278">
        <w:rPr>
          <w:rFonts w:ascii="Times New Roman" w:hAnsi="Times New Roman"/>
          <w:sz w:val="20"/>
          <w:szCs w:val="24"/>
          <w:lang w:val="en-US"/>
        </w:rPr>
        <w:t>ml  screwed</w:t>
      </w:r>
      <w:proofErr w:type="gramEnd"/>
      <w:r w:rsidRPr="00657278">
        <w:rPr>
          <w:rFonts w:ascii="Times New Roman" w:hAnsi="Times New Roman"/>
          <w:sz w:val="20"/>
          <w:szCs w:val="24"/>
          <w:lang w:val="en-US"/>
        </w:rPr>
        <w:t xml:space="preserve"> cap vial. 250 µl of a solution of BF3 (12% in MeOH anhydrous from Sigma Aldrich®) and 250 µl of hexane are added in sequence to the freeze-dried sample. The vial is capped and the suspension homogenized by </w:t>
      </w:r>
      <w:proofErr w:type="spellStart"/>
      <w:r w:rsidRPr="00657278">
        <w:rPr>
          <w:rFonts w:ascii="Times New Roman" w:hAnsi="Times New Roman"/>
          <w:sz w:val="20"/>
          <w:szCs w:val="24"/>
          <w:lang w:val="en-US"/>
        </w:rPr>
        <w:t>vortexing</w:t>
      </w:r>
      <w:proofErr w:type="spellEnd"/>
      <w:r w:rsidRPr="00657278">
        <w:rPr>
          <w:rFonts w:ascii="Times New Roman" w:hAnsi="Times New Roman"/>
          <w:sz w:val="20"/>
          <w:szCs w:val="24"/>
          <w:lang w:val="en-US"/>
        </w:rPr>
        <w:t xml:space="preserve"> for 15 seconds. Then, the vial is put in the oven at 100°C for 10 minutes. Once removed from the oven, the vial is suddenly cooled. 250 µl of H2O are added to the sample to completely stop the reaction and the mixture is vortexed for 20 seconds. Two phases are obtained after centrifugation. In the upper phase methyl esters from the fatty acids are dissolved in hexane. 150 µl </w:t>
      </w:r>
      <w:proofErr w:type="gramStart"/>
      <w:r w:rsidRPr="00657278">
        <w:rPr>
          <w:rFonts w:ascii="Times New Roman" w:hAnsi="Times New Roman"/>
          <w:sz w:val="20"/>
          <w:szCs w:val="24"/>
          <w:lang w:val="en-US"/>
        </w:rPr>
        <w:t>of  the</w:t>
      </w:r>
      <w:proofErr w:type="gramEnd"/>
      <w:r w:rsidRPr="00657278">
        <w:rPr>
          <w:rFonts w:ascii="Times New Roman" w:hAnsi="Times New Roman"/>
          <w:sz w:val="20"/>
          <w:szCs w:val="24"/>
          <w:lang w:val="en-US"/>
        </w:rPr>
        <w:t xml:space="preserve"> upper phase are transferred in a 300 µl screwed cap vial. The solution is dried under nitrogen flow, and the methyl esters are </w:t>
      </w:r>
      <w:proofErr w:type="gramStart"/>
      <w:r w:rsidRPr="00657278">
        <w:rPr>
          <w:rFonts w:ascii="Times New Roman" w:hAnsi="Times New Roman"/>
          <w:sz w:val="20"/>
          <w:szCs w:val="24"/>
          <w:lang w:val="en-US"/>
        </w:rPr>
        <w:t>resuspended  in</w:t>
      </w:r>
      <w:proofErr w:type="gramEnd"/>
      <w:r w:rsidRPr="00657278">
        <w:rPr>
          <w:rFonts w:ascii="Times New Roman" w:hAnsi="Times New Roman"/>
          <w:sz w:val="20"/>
          <w:szCs w:val="24"/>
          <w:lang w:val="en-US"/>
        </w:rPr>
        <w:t xml:space="preserve"> 50 µl of hexane to enable the GC-FID analysis.</w:t>
      </w:r>
    </w:p>
    <w:p w:rsidR="00657278" w:rsidRPr="00657278" w:rsidRDefault="00657278" w:rsidP="00657278">
      <w:pPr>
        <w:spacing w:line="480" w:lineRule="auto"/>
        <w:jc w:val="both"/>
        <w:rPr>
          <w:rFonts w:ascii="Times New Roman" w:hAnsi="Times New Roman"/>
          <w:i/>
          <w:sz w:val="20"/>
          <w:szCs w:val="24"/>
          <w:lang w:val="en-US"/>
        </w:rPr>
      </w:pPr>
      <w:r w:rsidRPr="00657278">
        <w:rPr>
          <w:rFonts w:ascii="Times New Roman" w:hAnsi="Times New Roman"/>
          <w:i/>
          <w:sz w:val="20"/>
          <w:szCs w:val="24"/>
          <w:lang w:val="en-US"/>
        </w:rPr>
        <w:t>GC-FID analysis of methyl esters</w:t>
      </w:r>
    </w:p>
    <w:p w:rsidR="00657278" w:rsidRDefault="00657278" w:rsidP="00657278">
      <w:pPr>
        <w:spacing w:line="480" w:lineRule="auto"/>
        <w:jc w:val="both"/>
        <w:rPr>
          <w:rFonts w:ascii="Times New Roman" w:hAnsi="Times New Roman"/>
          <w:sz w:val="20"/>
          <w:szCs w:val="24"/>
          <w:lang w:val="en-US"/>
        </w:rPr>
      </w:pPr>
      <w:r w:rsidRPr="00657278">
        <w:rPr>
          <w:rFonts w:ascii="Times New Roman" w:hAnsi="Times New Roman"/>
          <w:sz w:val="20"/>
          <w:szCs w:val="24"/>
          <w:lang w:val="en-US"/>
        </w:rPr>
        <w:t>Varian® 430 GC is employed, equipped with a split/</w:t>
      </w:r>
      <w:proofErr w:type="spellStart"/>
      <w:r w:rsidRPr="00657278">
        <w:rPr>
          <w:rFonts w:ascii="Times New Roman" w:hAnsi="Times New Roman"/>
          <w:sz w:val="20"/>
          <w:szCs w:val="24"/>
          <w:lang w:val="en-US"/>
        </w:rPr>
        <w:t>splitless</w:t>
      </w:r>
      <w:proofErr w:type="spellEnd"/>
      <w:r w:rsidRPr="00657278">
        <w:rPr>
          <w:rFonts w:ascii="Times New Roman" w:hAnsi="Times New Roman"/>
          <w:sz w:val="20"/>
          <w:szCs w:val="24"/>
          <w:lang w:val="en-US"/>
        </w:rPr>
        <w:t xml:space="preserve"> injector, a 100m Varian® capillary column Select™ FAME (0.25 mm, 0.25 µm, #CP7421) and a flame ionization detector (FID).</w:t>
      </w:r>
      <w:r w:rsidRPr="00657278">
        <w:rPr>
          <w:rFonts w:ascii="Times New Roman" w:hAnsi="Times New Roman"/>
          <w:sz w:val="20"/>
          <w:szCs w:val="24"/>
          <w:lang w:val="en-US"/>
        </w:rPr>
        <w:br/>
        <w:t>2 µl of the methyl ester solution are injected with a split ratio of 2. The injector and the FID are maintained at 260°C. Carrying gas is He, 1.6 ml/min. The temperature gradient of the column start from 160°C till to 240°C in 20 minutes and remains at 240°C for 15 minutes.</w:t>
      </w:r>
    </w:p>
    <w:p w:rsidR="00657278" w:rsidRPr="00657278" w:rsidRDefault="00657278" w:rsidP="00657278">
      <w:pPr>
        <w:spacing w:line="480" w:lineRule="auto"/>
        <w:jc w:val="both"/>
        <w:rPr>
          <w:rFonts w:ascii="Times New Roman" w:hAnsi="Times New Roman"/>
          <w:sz w:val="20"/>
          <w:szCs w:val="24"/>
          <w:lang w:val="en-US"/>
        </w:rPr>
      </w:pPr>
      <w:r w:rsidRPr="00657278">
        <w:rPr>
          <w:rFonts w:ascii="Times New Roman" w:hAnsi="Times New Roman"/>
          <w:sz w:val="20"/>
          <w:szCs w:val="24"/>
          <w:lang w:val="en-US"/>
        </w:rPr>
        <w:t xml:space="preserve">Identification of FAMEs is attended comparing chromatograms from the samples and from analytical standard (FAME mix C4-C24 </w:t>
      </w:r>
      <w:proofErr w:type="spellStart"/>
      <w:r w:rsidRPr="00657278">
        <w:rPr>
          <w:rFonts w:ascii="Times New Roman" w:hAnsi="Times New Roman"/>
          <w:sz w:val="20"/>
          <w:szCs w:val="24"/>
          <w:lang w:val="en-US"/>
        </w:rPr>
        <w:t>unsaturates</w:t>
      </w:r>
      <w:proofErr w:type="spellEnd"/>
      <w:r w:rsidRPr="00657278">
        <w:rPr>
          <w:rFonts w:ascii="Times New Roman" w:hAnsi="Times New Roman"/>
          <w:sz w:val="20"/>
          <w:szCs w:val="24"/>
          <w:lang w:val="en-US"/>
        </w:rPr>
        <w:t xml:space="preserve">, purchased from Sigma Aldrich ®). Peaks integration is performed by </w:t>
      </w:r>
      <w:proofErr w:type="spellStart"/>
      <w:r w:rsidRPr="00657278">
        <w:rPr>
          <w:rFonts w:ascii="Times New Roman" w:hAnsi="Times New Roman"/>
          <w:sz w:val="20"/>
          <w:szCs w:val="24"/>
          <w:lang w:val="en-US"/>
        </w:rPr>
        <w:t>Galaxie</w:t>
      </w:r>
      <w:proofErr w:type="spellEnd"/>
      <w:r w:rsidRPr="00657278">
        <w:rPr>
          <w:rFonts w:ascii="Times New Roman" w:hAnsi="Times New Roman"/>
          <w:sz w:val="20"/>
          <w:szCs w:val="24"/>
          <w:lang w:val="en-US"/>
        </w:rPr>
        <w:t xml:space="preserve"> software. Data are processed by Excel software.</w:t>
      </w:r>
    </w:p>
    <w:p w:rsidR="008F2958" w:rsidRDefault="003F5848">
      <w:pPr>
        <w:rPr>
          <w:b/>
          <w:lang w:val="en-US"/>
        </w:rPr>
      </w:pPr>
      <w:r>
        <w:rPr>
          <w:b/>
          <w:lang w:val="en-US"/>
        </w:rPr>
        <w:t>Suppl.</w:t>
      </w:r>
      <w:r w:rsidR="00FF63FC">
        <w:rPr>
          <w:b/>
          <w:lang w:val="en-US"/>
        </w:rPr>
        <w:t xml:space="preserve"> Table 1. Fatty acid composition</w:t>
      </w:r>
      <w:r>
        <w:rPr>
          <w:b/>
          <w:lang w:val="en-US"/>
        </w:rPr>
        <w:t>*</w:t>
      </w:r>
      <w:r w:rsidR="00FF63FC">
        <w:rPr>
          <w:b/>
          <w:lang w:val="en-US"/>
        </w:rPr>
        <w:t xml:space="preserve"> of pork meat, fasting serum and postprandial serum after consumption of a meal based on pork meat</w:t>
      </w:r>
    </w:p>
    <w:tbl>
      <w:tblPr>
        <w:tblW w:w="5000" w:type="pct"/>
        <w:jc w:val="center"/>
        <w:tblLook w:val="0000" w:firstRow="0" w:lastRow="0" w:firstColumn="0" w:lastColumn="0" w:noHBand="0" w:noVBand="0"/>
      </w:tblPr>
      <w:tblGrid>
        <w:gridCol w:w="2927"/>
        <w:gridCol w:w="1679"/>
        <w:gridCol w:w="2170"/>
        <w:gridCol w:w="2862"/>
      </w:tblGrid>
      <w:tr w:rsidR="00B4357A" w:rsidRPr="003F5848" w:rsidTr="00B4357A">
        <w:trPr>
          <w:trHeight w:val="278"/>
          <w:jc w:val="center"/>
        </w:trPr>
        <w:tc>
          <w:tcPr>
            <w:tcW w:w="1518" w:type="pct"/>
            <w:tcBorders>
              <w:top w:val="single" w:sz="4" w:space="0" w:color="000000"/>
              <w:bottom w:val="single" w:sz="4" w:space="0" w:color="auto"/>
            </w:tcBorders>
            <w:vAlign w:val="center"/>
          </w:tcPr>
          <w:p w:rsidR="00B4357A" w:rsidRPr="00A03425" w:rsidRDefault="00B4357A" w:rsidP="00B4357A">
            <w:pPr>
              <w:snapToGrid w:val="0"/>
              <w:jc w:val="both"/>
              <w:rPr>
                <w:rFonts w:ascii="Times New Roman" w:hAnsi="Times New Roman" w:cs="Times New Roman"/>
                <w:b/>
                <w:sz w:val="20"/>
                <w:szCs w:val="20"/>
                <w:lang w:val="en-US"/>
              </w:rPr>
            </w:pPr>
            <w:r w:rsidRPr="00DB1374">
              <w:rPr>
                <w:rFonts w:ascii="Times New Roman" w:hAnsi="Times New Roman" w:cs="Times New Roman"/>
                <w:b/>
                <w:sz w:val="20"/>
                <w:szCs w:val="20"/>
                <w:lang w:val="en-US"/>
              </w:rPr>
              <w:lastRenderedPageBreak/>
              <w:t>Fatty acid (%)</w:t>
            </w:r>
          </w:p>
        </w:tc>
        <w:tc>
          <w:tcPr>
            <w:tcW w:w="871" w:type="pct"/>
            <w:tcBorders>
              <w:top w:val="single" w:sz="4" w:space="0" w:color="000000"/>
              <w:bottom w:val="single" w:sz="4" w:space="0" w:color="auto"/>
            </w:tcBorders>
            <w:vAlign w:val="center"/>
          </w:tcPr>
          <w:p w:rsidR="00B4357A" w:rsidRPr="003F5848" w:rsidRDefault="00B4357A" w:rsidP="00B4357A">
            <w:pPr>
              <w:snapToGrid w:val="0"/>
              <w:jc w:val="center"/>
              <w:rPr>
                <w:rFonts w:ascii="Times New Roman" w:hAnsi="Times New Roman" w:cs="Times New Roman"/>
                <w:b/>
                <w:sz w:val="20"/>
                <w:szCs w:val="20"/>
                <w:lang w:val="en-US"/>
              </w:rPr>
            </w:pPr>
            <w:r w:rsidRPr="003F5848">
              <w:rPr>
                <w:rFonts w:ascii="Times New Roman" w:hAnsi="Times New Roman" w:cs="Times New Roman"/>
                <w:b/>
                <w:sz w:val="20"/>
                <w:szCs w:val="20"/>
                <w:lang w:val="en-US"/>
              </w:rPr>
              <w:t>Pork Meat</w:t>
            </w:r>
          </w:p>
        </w:tc>
        <w:tc>
          <w:tcPr>
            <w:tcW w:w="1126" w:type="pct"/>
            <w:tcBorders>
              <w:top w:val="single" w:sz="4" w:space="0" w:color="000000"/>
              <w:bottom w:val="single" w:sz="4" w:space="0" w:color="auto"/>
            </w:tcBorders>
            <w:vAlign w:val="center"/>
          </w:tcPr>
          <w:p w:rsidR="00B4357A" w:rsidRPr="003F5848" w:rsidRDefault="00B4357A" w:rsidP="00B4357A">
            <w:pPr>
              <w:snapToGrid w:val="0"/>
              <w:jc w:val="center"/>
              <w:rPr>
                <w:rFonts w:ascii="Times New Roman" w:hAnsi="Times New Roman" w:cs="Times New Roman"/>
                <w:b/>
                <w:sz w:val="20"/>
                <w:szCs w:val="20"/>
                <w:lang w:val="en-US"/>
              </w:rPr>
            </w:pPr>
            <w:r w:rsidRPr="003F5848">
              <w:rPr>
                <w:rFonts w:ascii="Times New Roman" w:hAnsi="Times New Roman" w:cs="Times New Roman"/>
                <w:b/>
                <w:sz w:val="20"/>
                <w:szCs w:val="20"/>
                <w:lang w:val="en-US"/>
              </w:rPr>
              <w:t>Fasting Serum</w:t>
            </w:r>
          </w:p>
        </w:tc>
        <w:tc>
          <w:tcPr>
            <w:tcW w:w="1485" w:type="pct"/>
            <w:tcBorders>
              <w:top w:val="single" w:sz="4" w:space="0" w:color="000000"/>
              <w:bottom w:val="single" w:sz="4" w:space="0" w:color="auto"/>
            </w:tcBorders>
            <w:vAlign w:val="center"/>
          </w:tcPr>
          <w:p w:rsidR="00B4357A" w:rsidRPr="003F5848" w:rsidRDefault="00B4357A" w:rsidP="00B4357A">
            <w:pPr>
              <w:snapToGrid w:val="0"/>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Postprandial </w:t>
            </w:r>
            <w:r w:rsidRPr="003F5848">
              <w:rPr>
                <w:rFonts w:ascii="Times New Roman" w:hAnsi="Times New Roman" w:cs="Times New Roman"/>
                <w:b/>
                <w:sz w:val="20"/>
                <w:szCs w:val="20"/>
                <w:lang w:val="en-US"/>
              </w:rPr>
              <w:t>Serum</w:t>
            </w:r>
          </w:p>
        </w:tc>
      </w:tr>
      <w:tr w:rsidR="00B4357A" w:rsidRPr="003F5848" w:rsidTr="00B4357A">
        <w:trPr>
          <w:trHeight w:val="170"/>
          <w:jc w:val="center"/>
        </w:trPr>
        <w:tc>
          <w:tcPr>
            <w:tcW w:w="1518" w:type="pct"/>
            <w:tcBorders>
              <w:top w:val="single" w:sz="4" w:space="0" w:color="auto"/>
            </w:tcBorders>
            <w:vAlign w:val="center"/>
          </w:tcPr>
          <w:p w:rsidR="00B4357A" w:rsidRPr="00A03425" w:rsidRDefault="00B4357A" w:rsidP="00B4357A">
            <w:pPr>
              <w:snapToGrid w:val="0"/>
              <w:jc w:val="both"/>
              <w:rPr>
                <w:rFonts w:ascii="Times New Roman" w:hAnsi="Times New Roman" w:cs="Times New Roman"/>
                <w:sz w:val="20"/>
                <w:szCs w:val="20"/>
                <w:lang w:val="en-US"/>
              </w:rPr>
            </w:pPr>
            <w:r w:rsidRPr="00DB1374">
              <w:rPr>
                <w:rFonts w:ascii="Times New Roman" w:hAnsi="Times New Roman" w:cs="Times New Roman"/>
                <w:sz w:val="20"/>
                <w:szCs w:val="20"/>
                <w:lang w:val="en-US"/>
              </w:rPr>
              <w:t>C12:0</w:t>
            </w:r>
          </w:p>
        </w:tc>
        <w:tc>
          <w:tcPr>
            <w:tcW w:w="871" w:type="pct"/>
            <w:tcBorders>
              <w:top w:val="single" w:sz="4" w:space="0" w:color="auto"/>
            </w:tcBorders>
            <w:vAlign w:val="center"/>
          </w:tcPr>
          <w:p w:rsidR="00B4357A" w:rsidRPr="00A03425" w:rsidRDefault="00B4357A" w:rsidP="00B4357A">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0.1±0.0</w:t>
            </w:r>
          </w:p>
        </w:tc>
        <w:tc>
          <w:tcPr>
            <w:tcW w:w="1126" w:type="pct"/>
            <w:tcBorders>
              <w:top w:val="single" w:sz="4" w:space="0" w:color="auto"/>
            </w:tcBorders>
            <w:vAlign w:val="center"/>
          </w:tcPr>
          <w:p w:rsidR="00B4357A" w:rsidRDefault="00B4357A" w:rsidP="00B4357A">
            <w:pPr>
              <w:snapToGrid w:val="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n.d.</w:t>
            </w:r>
            <w:proofErr w:type="spellEnd"/>
          </w:p>
        </w:tc>
        <w:tc>
          <w:tcPr>
            <w:tcW w:w="1485" w:type="pct"/>
            <w:tcBorders>
              <w:top w:val="single" w:sz="4" w:space="0" w:color="auto"/>
            </w:tcBorders>
            <w:vAlign w:val="center"/>
          </w:tcPr>
          <w:p w:rsidR="00B4357A" w:rsidRDefault="00B4357A" w:rsidP="00B4357A">
            <w:pPr>
              <w:snapToGrid w:val="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n.d</w:t>
            </w:r>
            <w:proofErr w:type="spellEnd"/>
          </w:p>
        </w:tc>
      </w:tr>
      <w:tr w:rsidR="00B4357A" w:rsidRPr="003F5848" w:rsidTr="00B4357A">
        <w:trPr>
          <w:trHeight w:val="113"/>
          <w:jc w:val="center"/>
        </w:trPr>
        <w:tc>
          <w:tcPr>
            <w:tcW w:w="1518" w:type="pct"/>
            <w:vAlign w:val="center"/>
          </w:tcPr>
          <w:p w:rsidR="00B4357A" w:rsidRPr="003F5848" w:rsidRDefault="00B4357A" w:rsidP="00B4357A">
            <w:pPr>
              <w:snapToGrid w:val="0"/>
              <w:jc w:val="both"/>
              <w:rPr>
                <w:rFonts w:ascii="Times New Roman" w:hAnsi="Times New Roman" w:cs="Times New Roman"/>
                <w:sz w:val="20"/>
                <w:szCs w:val="20"/>
                <w:lang w:val="en-US"/>
              </w:rPr>
            </w:pPr>
            <w:r w:rsidRPr="003F5848">
              <w:rPr>
                <w:rFonts w:ascii="Times New Roman" w:hAnsi="Times New Roman" w:cs="Times New Roman"/>
                <w:sz w:val="20"/>
                <w:szCs w:val="20"/>
                <w:lang w:val="en-US"/>
              </w:rPr>
              <w:t>C14:0</w:t>
            </w:r>
          </w:p>
        </w:tc>
        <w:tc>
          <w:tcPr>
            <w:tcW w:w="871" w:type="pct"/>
            <w:vAlign w:val="center"/>
          </w:tcPr>
          <w:p w:rsidR="00B4357A" w:rsidRPr="000831F2" w:rsidRDefault="00B4357A" w:rsidP="00B4357A">
            <w:pPr>
              <w:snapToGrid w:val="0"/>
              <w:jc w:val="center"/>
              <w:rPr>
                <w:rFonts w:ascii="Times New Roman" w:hAnsi="Times New Roman" w:cs="Times New Roman"/>
                <w:sz w:val="20"/>
                <w:szCs w:val="20"/>
                <w:lang w:val="en-US"/>
              </w:rPr>
            </w:pPr>
            <w:r w:rsidRPr="003F5848">
              <w:rPr>
                <w:rFonts w:ascii="Times New Roman" w:hAnsi="Times New Roman" w:cs="Times New Roman"/>
                <w:sz w:val="20"/>
                <w:szCs w:val="20"/>
                <w:lang w:val="en-US"/>
              </w:rPr>
              <w:t>1.5</w:t>
            </w:r>
            <w:r w:rsidRPr="000831F2">
              <w:rPr>
                <w:rFonts w:ascii="Times New Roman" w:hAnsi="Times New Roman" w:cs="Times New Roman"/>
                <w:sz w:val="20"/>
                <w:szCs w:val="20"/>
                <w:lang w:val="en-US"/>
              </w:rPr>
              <w:t>±0.0</w:t>
            </w:r>
          </w:p>
        </w:tc>
        <w:tc>
          <w:tcPr>
            <w:tcW w:w="1126" w:type="pct"/>
            <w:vAlign w:val="center"/>
          </w:tcPr>
          <w:p w:rsidR="00B4357A" w:rsidRPr="003F5848" w:rsidRDefault="00B4357A" w:rsidP="00B4357A">
            <w:pPr>
              <w:snapToGrid w:val="0"/>
              <w:jc w:val="center"/>
              <w:rPr>
                <w:rFonts w:ascii="Times New Roman" w:hAnsi="Times New Roman" w:cs="Times New Roman"/>
                <w:sz w:val="20"/>
                <w:szCs w:val="20"/>
                <w:lang w:val="en-US"/>
              </w:rPr>
            </w:pPr>
            <w:r w:rsidRPr="003F5848">
              <w:rPr>
                <w:rFonts w:ascii="Times New Roman" w:hAnsi="Times New Roman" w:cs="Times New Roman"/>
                <w:sz w:val="20"/>
                <w:szCs w:val="20"/>
                <w:lang w:val="en-US"/>
              </w:rPr>
              <w:t>0.7</w:t>
            </w:r>
            <w:r>
              <w:rPr>
                <w:rFonts w:ascii="Times New Roman" w:hAnsi="Times New Roman" w:cs="Times New Roman"/>
                <w:sz w:val="20"/>
                <w:szCs w:val="20"/>
                <w:lang w:val="en-US"/>
              </w:rPr>
              <w:t>±0.3</w:t>
            </w:r>
          </w:p>
        </w:tc>
        <w:tc>
          <w:tcPr>
            <w:tcW w:w="1485" w:type="pct"/>
            <w:vAlign w:val="center"/>
          </w:tcPr>
          <w:p w:rsidR="00B4357A" w:rsidRPr="003F5848" w:rsidRDefault="00B4357A" w:rsidP="00B4357A">
            <w:pPr>
              <w:snapToGrid w:val="0"/>
              <w:jc w:val="center"/>
              <w:rPr>
                <w:rFonts w:ascii="Times New Roman" w:hAnsi="Times New Roman" w:cs="Times New Roman"/>
                <w:sz w:val="20"/>
                <w:szCs w:val="20"/>
                <w:lang w:val="en-US"/>
              </w:rPr>
            </w:pPr>
            <w:r w:rsidRPr="003F5848">
              <w:rPr>
                <w:rFonts w:ascii="Times New Roman" w:hAnsi="Times New Roman" w:cs="Times New Roman"/>
                <w:sz w:val="20"/>
                <w:szCs w:val="20"/>
                <w:lang w:val="en-US"/>
              </w:rPr>
              <w:t>0.6</w:t>
            </w:r>
            <w:r w:rsidR="00594B88">
              <w:rPr>
                <w:rFonts w:ascii="Times New Roman" w:hAnsi="Times New Roman" w:cs="Times New Roman"/>
                <w:sz w:val="20"/>
                <w:szCs w:val="20"/>
                <w:lang w:val="en-US"/>
              </w:rPr>
              <w:t>±0.1</w:t>
            </w:r>
          </w:p>
        </w:tc>
      </w:tr>
      <w:tr w:rsidR="00B4357A" w:rsidRPr="00A03425" w:rsidTr="00B4357A">
        <w:trPr>
          <w:trHeight w:val="170"/>
          <w:jc w:val="center"/>
        </w:trPr>
        <w:tc>
          <w:tcPr>
            <w:tcW w:w="1518" w:type="pct"/>
            <w:vAlign w:val="center"/>
          </w:tcPr>
          <w:p w:rsidR="00B4357A" w:rsidRPr="00A03425" w:rsidRDefault="00B4357A" w:rsidP="00B4357A">
            <w:pPr>
              <w:snapToGrid w:val="0"/>
              <w:jc w:val="both"/>
              <w:rPr>
                <w:rFonts w:ascii="Times New Roman" w:hAnsi="Times New Roman" w:cs="Times New Roman"/>
                <w:sz w:val="20"/>
                <w:szCs w:val="20"/>
              </w:rPr>
            </w:pPr>
            <w:r w:rsidRPr="003F5848">
              <w:rPr>
                <w:rFonts w:ascii="Times New Roman" w:hAnsi="Times New Roman" w:cs="Times New Roman"/>
                <w:sz w:val="20"/>
                <w:szCs w:val="20"/>
                <w:lang w:val="en-US"/>
              </w:rPr>
              <w:t>C1</w:t>
            </w:r>
            <w:r w:rsidRPr="00DB1374">
              <w:rPr>
                <w:rFonts w:ascii="Times New Roman" w:hAnsi="Times New Roman" w:cs="Times New Roman"/>
                <w:sz w:val="20"/>
                <w:szCs w:val="20"/>
              </w:rPr>
              <w:t>6:0</w:t>
            </w:r>
          </w:p>
        </w:tc>
        <w:tc>
          <w:tcPr>
            <w:tcW w:w="871" w:type="pct"/>
            <w:vAlign w:val="center"/>
          </w:tcPr>
          <w:p w:rsidR="00B4357A" w:rsidRPr="000831F2" w:rsidRDefault="00B4357A" w:rsidP="00B4357A">
            <w:pPr>
              <w:snapToGrid w:val="0"/>
              <w:jc w:val="center"/>
              <w:rPr>
                <w:rFonts w:ascii="Times New Roman" w:hAnsi="Times New Roman" w:cs="Times New Roman"/>
                <w:sz w:val="20"/>
                <w:szCs w:val="20"/>
              </w:rPr>
            </w:pPr>
            <w:r w:rsidRPr="000831F2">
              <w:rPr>
                <w:rFonts w:ascii="Times New Roman" w:hAnsi="Times New Roman" w:cs="Times New Roman"/>
                <w:sz w:val="20"/>
                <w:szCs w:val="20"/>
              </w:rPr>
              <w:t>25.3</w:t>
            </w:r>
            <w:r w:rsidRPr="000831F2">
              <w:rPr>
                <w:rFonts w:ascii="Times New Roman" w:hAnsi="Times New Roman" w:cs="Times New Roman"/>
                <w:sz w:val="20"/>
                <w:szCs w:val="20"/>
                <w:lang w:val="en-US"/>
              </w:rPr>
              <w:t>±0.5</w:t>
            </w:r>
          </w:p>
        </w:tc>
        <w:tc>
          <w:tcPr>
            <w:tcW w:w="1126" w:type="pct"/>
            <w:vAlign w:val="center"/>
          </w:tcPr>
          <w:p w:rsidR="00B4357A" w:rsidRPr="000831F2" w:rsidRDefault="003F1C23" w:rsidP="00B4357A">
            <w:pPr>
              <w:snapToGrid w:val="0"/>
              <w:jc w:val="center"/>
              <w:rPr>
                <w:rFonts w:ascii="Times New Roman" w:hAnsi="Times New Roman" w:cs="Times New Roman"/>
                <w:sz w:val="20"/>
                <w:szCs w:val="20"/>
              </w:rPr>
            </w:pPr>
            <w:r>
              <w:rPr>
                <w:rFonts w:ascii="Times New Roman" w:hAnsi="Times New Roman" w:cs="Times New Roman"/>
                <w:sz w:val="20"/>
                <w:szCs w:val="20"/>
              </w:rPr>
              <w:t>30.0±1.0</w:t>
            </w:r>
          </w:p>
        </w:tc>
        <w:tc>
          <w:tcPr>
            <w:tcW w:w="1485" w:type="pct"/>
            <w:vAlign w:val="center"/>
          </w:tcPr>
          <w:p w:rsidR="00B4357A" w:rsidRPr="000831F2" w:rsidRDefault="003F1C23" w:rsidP="00B4357A">
            <w:pPr>
              <w:snapToGrid w:val="0"/>
              <w:jc w:val="center"/>
              <w:rPr>
                <w:rFonts w:ascii="Times New Roman" w:hAnsi="Times New Roman" w:cs="Times New Roman"/>
                <w:sz w:val="20"/>
                <w:szCs w:val="20"/>
              </w:rPr>
            </w:pPr>
            <w:r>
              <w:rPr>
                <w:rFonts w:ascii="Times New Roman" w:hAnsi="Times New Roman" w:cs="Times New Roman"/>
                <w:sz w:val="20"/>
                <w:szCs w:val="20"/>
              </w:rPr>
              <w:t>28.8±0.5</w:t>
            </w:r>
          </w:p>
        </w:tc>
      </w:tr>
      <w:tr w:rsidR="00B4357A" w:rsidRPr="00A03425" w:rsidTr="00B4357A">
        <w:trPr>
          <w:trHeight w:val="170"/>
          <w:jc w:val="center"/>
        </w:trPr>
        <w:tc>
          <w:tcPr>
            <w:tcW w:w="1518" w:type="pct"/>
            <w:vAlign w:val="center"/>
          </w:tcPr>
          <w:p w:rsidR="00B4357A" w:rsidRPr="00A03425" w:rsidRDefault="00B4357A" w:rsidP="00B4357A">
            <w:pPr>
              <w:snapToGrid w:val="0"/>
              <w:jc w:val="both"/>
              <w:rPr>
                <w:rFonts w:ascii="Times New Roman" w:hAnsi="Times New Roman" w:cs="Times New Roman"/>
                <w:sz w:val="20"/>
                <w:szCs w:val="20"/>
              </w:rPr>
            </w:pPr>
            <w:r w:rsidRPr="00DB1374">
              <w:rPr>
                <w:rFonts w:ascii="Times New Roman" w:hAnsi="Times New Roman" w:cs="Times New Roman"/>
                <w:sz w:val="20"/>
                <w:szCs w:val="20"/>
              </w:rPr>
              <w:t>C17:0</w:t>
            </w:r>
          </w:p>
        </w:tc>
        <w:tc>
          <w:tcPr>
            <w:tcW w:w="871" w:type="pct"/>
            <w:vAlign w:val="center"/>
          </w:tcPr>
          <w:p w:rsidR="00B4357A" w:rsidRPr="00A03425"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0.2</w:t>
            </w:r>
            <w:r w:rsidRPr="00594B88">
              <w:rPr>
                <w:rFonts w:ascii="Times New Roman" w:hAnsi="Times New Roman" w:cs="Times New Roman"/>
                <w:sz w:val="20"/>
                <w:szCs w:val="20"/>
              </w:rPr>
              <w:t>±0.0</w:t>
            </w:r>
          </w:p>
        </w:tc>
        <w:tc>
          <w:tcPr>
            <w:tcW w:w="1126" w:type="pct"/>
            <w:vAlign w:val="center"/>
          </w:tcPr>
          <w:p w:rsidR="00B4357A"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0.4</w:t>
            </w:r>
            <w:r w:rsidR="00594B88">
              <w:rPr>
                <w:rFonts w:ascii="Times New Roman" w:hAnsi="Times New Roman" w:cs="Times New Roman"/>
                <w:sz w:val="20"/>
                <w:szCs w:val="20"/>
              </w:rPr>
              <w:t>±0.1</w:t>
            </w:r>
          </w:p>
        </w:tc>
        <w:tc>
          <w:tcPr>
            <w:tcW w:w="1485" w:type="pct"/>
            <w:vAlign w:val="center"/>
          </w:tcPr>
          <w:p w:rsidR="00B4357A"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0.4</w:t>
            </w:r>
            <w:r w:rsidRPr="00594B88">
              <w:rPr>
                <w:rFonts w:ascii="Times New Roman" w:hAnsi="Times New Roman" w:cs="Times New Roman"/>
                <w:sz w:val="20"/>
                <w:szCs w:val="20"/>
              </w:rPr>
              <w:t>±0.1</w:t>
            </w:r>
          </w:p>
        </w:tc>
      </w:tr>
      <w:tr w:rsidR="00B4357A" w:rsidRPr="00A03425" w:rsidTr="00B4357A">
        <w:trPr>
          <w:trHeight w:val="170"/>
          <w:jc w:val="center"/>
        </w:trPr>
        <w:tc>
          <w:tcPr>
            <w:tcW w:w="1518" w:type="pct"/>
            <w:vAlign w:val="center"/>
          </w:tcPr>
          <w:p w:rsidR="00B4357A" w:rsidRPr="00A03425" w:rsidRDefault="00B4357A" w:rsidP="00B4357A">
            <w:pPr>
              <w:snapToGrid w:val="0"/>
              <w:jc w:val="both"/>
              <w:rPr>
                <w:rFonts w:ascii="Times New Roman" w:hAnsi="Times New Roman" w:cs="Times New Roman"/>
                <w:sz w:val="20"/>
                <w:szCs w:val="20"/>
              </w:rPr>
            </w:pPr>
            <w:r w:rsidRPr="00DB1374">
              <w:rPr>
                <w:rFonts w:ascii="Times New Roman" w:hAnsi="Times New Roman" w:cs="Times New Roman"/>
                <w:sz w:val="20"/>
                <w:szCs w:val="20"/>
              </w:rPr>
              <w:t>C18:0</w:t>
            </w:r>
          </w:p>
        </w:tc>
        <w:tc>
          <w:tcPr>
            <w:tcW w:w="871" w:type="pct"/>
            <w:vAlign w:val="center"/>
          </w:tcPr>
          <w:p w:rsidR="00B4357A" w:rsidRPr="000831F2" w:rsidRDefault="00B4357A" w:rsidP="00B4357A">
            <w:pPr>
              <w:snapToGrid w:val="0"/>
              <w:jc w:val="center"/>
              <w:rPr>
                <w:rFonts w:ascii="Times New Roman" w:hAnsi="Times New Roman" w:cs="Times New Roman"/>
                <w:sz w:val="20"/>
                <w:szCs w:val="20"/>
              </w:rPr>
            </w:pPr>
            <w:r w:rsidRPr="000831F2">
              <w:rPr>
                <w:rFonts w:ascii="Times New Roman" w:hAnsi="Times New Roman" w:cs="Times New Roman"/>
                <w:sz w:val="20"/>
                <w:szCs w:val="20"/>
              </w:rPr>
              <w:t>14.5</w:t>
            </w:r>
            <w:r w:rsidRPr="00594B88">
              <w:rPr>
                <w:rFonts w:ascii="Times New Roman" w:hAnsi="Times New Roman" w:cs="Times New Roman"/>
                <w:sz w:val="20"/>
                <w:szCs w:val="20"/>
              </w:rPr>
              <w:t>±0.4</w:t>
            </w:r>
          </w:p>
        </w:tc>
        <w:tc>
          <w:tcPr>
            <w:tcW w:w="1126" w:type="pct"/>
            <w:vAlign w:val="center"/>
          </w:tcPr>
          <w:p w:rsidR="00B4357A" w:rsidRPr="000831F2" w:rsidRDefault="00594B88" w:rsidP="00B4357A">
            <w:pPr>
              <w:snapToGrid w:val="0"/>
              <w:jc w:val="center"/>
              <w:rPr>
                <w:rFonts w:ascii="Times New Roman" w:hAnsi="Times New Roman" w:cs="Times New Roman"/>
                <w:sz w:val="20"/>
                <w:szCs w:val="20"/>
              </w:rPr>
            </w:pPr>
            <w:r>
              <w:rPr>
                <w:rFonts w:ascii="Times New Roman" w:hAnsi="Times New Roman" w:cs="Times New Roman"/>
                <w:sz w:val="20"/>
                <w:szCs w:val="20"/>
              </w:rPr>
              <w:t>12.4</w:t>
            </w:r>
            <w:r w:rsidR="00B4357A" w:rsidRPr="00594B88">
              <w:rPr>
                <w:rFonts w:ascii="Times New Roman" w:hAnsi="Times New Roman" w:cs="Times New Roman"/>
                <w:sz w:val="20"/>
                <w:szCs w:val="20"/>
              </w:rPr>
              <w:t>±0.7</w:t>
            </w:r>
          </w:p>
        </w:tc>
        <w:tc>
          <w:tcPr>
            <w:tcW w:w="1485" w:type="pct"/>
            <w:vAlign w:val="center"/>
          </w:tcPr>
          <w:p w:rsidR="00B4357A" w:rsidRPr="000831F2"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13.4</w:t>
            </w:r>
            <w:r w:rsidRPr="00594B88">
              <w:rPr>
                <w:rFonts w:ascii="Times New Roman" w:hAnsi="Times New Roman" w:cs="Times New Roman"/>
                <w:sz w:val="20"/>
                <w:szCs w:val="20"/>
              </w:rPr>
              <w:t>±0.2</w:t>
            </w:r>
          </w:p>
        </w:tc>
      </w:tr>
      <w:tr w:rsidR="00B4357A" w:rsidRPr="00A03425" w:rsidTr="00B4357A">
        <w:trPr>
          <w:trHeight w:val="170"/>
          <w:jc w:val="center"/>
        </w:trPr>
        <w:tc>
          <w:tcPr>
            <w:tcW w:w="1518" w:type="pct"/>
            <w:vAlign w:val="center"/>
          </w:tcPr>
          <w:p w:rsidR="00B4357A" w:rsidRPr="00A03425" w:rsidRDefault="00B4357A" w:rsidP="00B4357A">
            <w:pPr>
              <w:snapToGrid w:val="0"/>
              <w:jc w:val="both"/>
              <w:rPr>
                <w:rFonts w:ascii="Times New Roman" w:hAnsi="Times New Roman" w:cs="Times New Roman"/>
                <w:sz w:val="20"/>
                <w:szCs w:val="20"/>
                <w:lang w:val="de-DE"/>
              </w:rPr>
            </w:pPr>
            <w:r w:rsidRPr="00DB1374">
              <w:rPr>
                <w:rFonts w:ascii="Times New Roman" w:hAnsi="Times New Roman" w:cs="Times New Roman"/>
                <w:sz w:val="20"/>
                <w:szCs w:val="20"/>
                <w:lang w:val="de-DE"/>
              </w:rPr>
              <w:t>C20:0</w:t>
            </w:r>
          </w:p>
        </w:tc>
        <w:tc>
          <w:tcPr>
            <w:tcW w:w="871" w:type="pct"/>
            <w:vAlign w:val="center"/>
          </w:tcPr>
          <w:p w:rsidR="00B4357A" w:rsidRPr="000831F2" w:rsidRDefault="00B4357A" w:rsidP="00B4357A">
            <w:pPr>
              <w:snapToGrid w:val="0"/>
              <w:jc w:val="center"/>
              <w:rPr>
                <w:rFonts w:ascii="Times New Roman" w:hAnsi="Times New Roman" w:cs="Times New Roman"/>
                <w:sz w:val="20"/>
                <w:szCs w:val="20"/>
                <w:lang w:val="de-DE"/>
              </w:rPr>
            </w:pPr>
            <w:r w:rsidRPr="000831F2">
              <w:rPr>
                <w:rFonts w:ascii="Times New Roman" w:hAnsi="Times New Roman" w:cs="Times New Roman"/>
                <w:sz w:val="20"/>
                <w:szCs w:val="20"/>
                <w:lang w:val="de-DE"/>
              </w:rPr>
              <w:t>0.2</w:t>
            </w:r>
            <w:r w:rsidRPr="00594B88">
              <w:rPr>
                <w:rFonts w:ascii="Times New Roman" w:hAnsi="Times New Roman" w:cs="Times New Roman"/>
                <w:sz w:val="20"/>
                <w:szCs w:val="20"/>
              </w:rPr>
              <w:t>±0.0</w:t>
            </w:r>
          </w:p>
        </w:tc>
        <w:tc>
          <w:tcPr>
            <w:tcW w:w="1126" w:type="pct"/>
            <w:vAlign w:val="center"/>
          </w:tcPr>
          <w:p w:rsidR="00B4357A" w:rsidRPr="000831F2" w:rsidRDefault="00B4357A" w:rsidP="00B4357A">
            <w:pPr>
              <w:snapToGrid w:val="0"/>
              <w:jc w:val="center"/>
              <w:rPr>
                <w:rFonts w:ascii="Times New Roman" w:hAnsi="Times New Roman" w:cs="Times New Roman"/>
                <w:sz w:val="20"/>
                <w:szCs w:val="20"/>
                <w:lang w:val="de-DE"/>
              </w:rPr>
            </w:pPr>
            <w:proofErr w:type="spellStart"/>
            <w:r>
              <w:rPr>
                <w:rFonts w:ascii="Times New Roman" w:hAnsi="Times New Roman" w:cs="Times New Roman"/>
                <w:sz w:val="20"/>
                <w:szCs w:val="20"/>
                <w:lang w:val="de-DE"/>
              </w:rPr>
              <w:t>n.d</w:t>
            </w:r>
            <w:proofErr w:type="spellEnd"/>
            <w:r>
              <w:rPr>
                <w:rFonts w:ascii="Times New Roman" w:hAnsi="Times New Roman" w:cs="Times New Roman"/>
                <w:sz w:val="20"/>
                <w:szCs w:val="20"/>
                <w:lang w:val="de-DE"/>
              </w:rPr>
              <w:t>.</w:t>
            </w:r>
          </w:p>
        </w:tc>
        <w:tc>
          <w:tcPr>
            <w:tcW w:w="1485" w:type="pct"/>
            <w:vAlign w:val="center"/>
          </w:tcPr>
          <w:p w:rsidR="00B4357A" w:rsidRPr="000831F2" w:rsidRDefault="00B4357A" w:rsidP="00B4357A">
            <w:pPr>
              <w:snapToGrid w:val="0"/>
              <w:jc w:val="center"/>
              <w:rPr>
                <w:rFonts w:ascii="Times New Roman" w:hAnsi="Times New Roman" w:cs="Times New Roman"/>
                <w:sz w:val="20"/>
                <w:szCs w:val="20"/>
                <w:lang w:val="de-DE"/>
              </w:rPr>
            </w:pPr>
            <w:proofErr w:type="spellStart"/>
            <w:r>
              <w:rPr>
                <w:rFonts w:ascii="Times New Roman" w:hAnsi="Times New Roman" w:cs="Times New Roman"/>
                <w:sz w:val="20"/>
                <w:szCs w:val="20"/>
                <w:lang w:val="de-DE"/>
              </w:rPr>
              <w:t>n.d</w:t>
            </w:r>
            <w:proofErr w:type="spellEnd"/>
            <w:r>
              <w:rPr>
                <w:rFonts w:ascii="Times New Roman" w:hAnsi="Times New Roman" w:cs="Times New Roman"/>
                <w:sz w:val="20"/>
                <w:szCs w:val="20"/>
                <w:lang w:val="de-DE"/>
              </w:rPr>
              <w:t>.</w:t>
            </w:r>
          </w:p>
        </w:tc>
      </w:tr>
      <w:tr w:rsidR="00B4357A" w:rsidRPr="00A03425" w:rsidTr="00B4357A">
        <w:trPr>
          <w:trHeight w:val="170"/>
          <w:jc w:val="center"/>
        </w:trPr>
        <w:tc>
          <w:tcPr>
            <w:tcW w:w="1518" w:type="pct"/>
            <w:tcBorders>
              <w:bottom w:val="single" w:sz="4" w:space="0" w:color="000000"/>
            </w:tcBorders>
            <w:vAlign w:val="center"/>
          </w:tcPr>
          <w:p w:rsidR="00B4357A" w:rsidRPr="00A03425" w:rsidRDefault="00B4357A" w:rsidP="00B4357A">
            <w:pPr>
              <w:snapToGrid w:val="0"/>
              <w:jc w:val="both"/>
              <w:rPr>
                <w:rFonts w:ascii="Times New Roman" w:hAnsi="Times New Roman" w:cs="Times New Roman"/>
                <w:b/>
                <w:sz w:val="20"/>
                <w:szCs w:val="20"/>
                <w:lang w:val="de-DE"/>
              </w:rPr>
            </w:pPr>
            <w:r w:rsidRPr="00DB1374">
              <w:rPr>
                <w:rFonts w:ascii="Times New Roman" w:hAnsi="Times New Roman" w:cs="Times New Roman"/>
                <w:b/>
                <w:sz w:val="20"/>
                <w:szCs w:val="20"/>
                <w:lang w:val="de-DE"/>
              </w:rPr>
              <w:sym w:font="Symbol" w:char="F0E5"/>
            </w:r>
            <w:r w:rsidRPr="00DB1374">
              <w:rPr>
                <w:rFonts w:ascii="Times New Roman" w:hAnsi="Times New Roman" w:cs="Times New Roman"/>
                <w:b/>
                <w:sz w:val="20"/>
                <w:szCs w:val="20"/>
                <w:lang w:val="de-DE"/>
              </w:rPr>
              <w:t xml:space="preserve"> SFA</w:t>
            </w:r>
          </w:p>
        </w:tc>
        <w:tc>
          <w:tcPr>
            <w:tcW w:w="871" w:type="pct"/>
            <w:tcBorders>
              <w:bottom w:val="single" w:sz="4" w:space="0" w:color="000000"/>
            </w:tcBorders>
            <w:vAlign w:val="center"/>
          </w:tcPr>
          <w:p w:rsidR="00B4357A" w:rsidRPr="004137ED" w:rsidRDefault="00B4357A" w:rsidP="00B4357A">
            <w:pPr>
              <w:snapToGrid w:val="0"/>
              <w:jc w:val="center"/>
              <w:rPr>
                <w:rFonts w:ascii="Times New Roman" w:hAnsi="Times New Roman" w:cs="Times New Roman"/>
                <w:sz w:val="20"/>
                <w:szCs w:val="20"/>
              </w:rPr>
            </w:pPr>
            <w:r w:rsidRPr="004137ED">
              <w:rPr>
                <w:rFonts w:ascii="Times New Roman" w:hAnsi="Times New Roman" w:cs="Times New Roman"/>
                <w:sz w:val="20"/>
                <w:szCs w:val="20"/>
              </w:rPr>
              <w:t>41.7</w:t>
            </w:r>
            <w:r w:rsidRPr="00594B88">
              <w:rPr>
                <w:rFonts w:ascii="Times New Roman" w:hAnsi="Times New Roman" w:cs="Times New Roman"/>
                <w:sz w:val="20"/>
                <w:szCs w:val="20"/>
              </w:rPr>
              <w:t>±0.4</w:t>
            </w:r>
          </w:p>
        </w:tc>
        <w:tc>
          <w:tcPr>
            <w:tcW w:w="1126" w:type="pct"/>
            <w:tcBorders>
              <w:bottom w:val="single" w:sz="4" w:space="0" w:color="000000"/>
            </w:tcBorders>
            <w:vAlign w:val="center"/>
          </w:tcPr>
          <w:p w:rsidR="00B4357A" w:rsidRPr="004137ED" w:rsidRDefault="00594B88" w:rsidP="00B4357A">
            <w:pPr>
              <w:snapToGrid w:val="0"/>
              <w:jc w:val="center"/>
              <w:rPr>
                <w:rFonts w:ascii="Times New Roman" w:hAnsi="Times New Roman" w:cs="Times New Roman"/>
                <w:sz w:val="20"/>
                <w:szCs w:val="20"/>
              </w:rPr>
            </w:pPr>
            <w:r>
              <w:rPr>
                <w:rFonts w:ascii="Times New Roman" w:hAnsi="Times New Roman" w:cs="Times New Roman"/>
                <w:sz w:val="20"/>
                <w:szCs w:val="20"/>
              </w:rPr>
              <w:t>43.5±0.9</w:t>
            </w:r>
          </w:p>
        </w:tc>
        <w:tc>
          <w:tcPr>
            <w:tcW w:w="1485" w:type="pct"/>
            <w:tcBorders>
              <w:bottom w:val="single" w:sz="4" w:space="0" w:color="000000"/>
            </w:tcBorders>
            <w:vAlign w:val="center"/>
          </w:tcPr>
          <w:p w:rsidR="00B4357A" w:rsidRPr="004137ED"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43.4</w:t>
            </w:r>
            <w:r w:rsidRPr="00594B88">
              <w:rPr>
                <w:rFonts w:ascii="Times New Roman" w:hAnsi="Times New Roman" w:cs="Times New Roman"/>
                <w:sz w:val="20"/>
                <w:szCs w:val="20"/>
              </w:rPr>
              <w:t>±0.8</w:t>
            </w:r>
          </w:p>
        </w:tc>
      </w:tr>
      <w:tr w:rsidR="00B4357A" w:rsidRPr="00A03425" w:rsidTr="00B4357A">
        <w:trPr>
          <w:trHeight w:val="170"/>
          <w:jc w:val="center"/>
        </w:trPr>
        <w:tc>
          <w:tcPr>
            <w:tcW w:w="1518" w:type="pct"/>
            <w:tcBorders>
              <w:top w:val="single" w:sz="4" w:space="0" w:color="000000"/>
            </w:tcBorders>
            <w:vAlign w:val="center"/>
          </w:tcPr>
          <w:p w:rsidR="00B4357A" w:rsidRPr="00A03425" w:rsidRDefault="00B4357A" w:rsidP="00B4357A">
            <w:pPr>
              <w:snapToGrid w:val="0"/>
              <w:jc w:val="both"/>
              <w:rPr>
                <w:rFonts w:ascii="Times New Roman" w:hAnsi="Times New Roman" w:cs="Times New Roman"/>
                <w:sz w:val="20"/>
                <w:szCs w:val="20"/>
                <w:lang w:val="de-DE"/>
              </w:rPr>
            </w:pPr>
            <w:r w:rsidRPr="00DB1374">
              <w:rPr>
                <w:rFonts w:ascii="Times New Roman" w:hAnsi="Times New Roman" w:cs="Times New Roman"/>
                <w:sz w:val="20"/>
                <w:szCs w:val="20"/>
                <w:lang w:val="de-DE"/>
              </w:rPr>
              <w:t>C16:1</w:t>
            </w:r>
            <w:r w:rsidRPr="00DB1374">
              <w:rPr>
                <w:rFonts w:ascii="Times New Roman" w:hAnsi="Times New Roman" w:cs="Times New Roman"/>
                <w:sz w:val="20"/>
                <w:szCs w:val="20"/>
              </w:rPr>
              <w:t xml:space="preserve"> Δ9c</w:t>
            </w:r>
          </w:p>
        </w:tc>
        <w:tc>
          <w:tcPr>
            <w:tcW w:w="871" w:type="pct"/>
            <w:tcBorders>
              <w:top w:val="single" w:sz="4" w:space="0" w:color="000000"/>
            </w:tcBorders>
            <w:vAlign w:val="center"/>
          </w:tcPr>
          <w:p w:rsidR="00B4357A" w:rsidRPr="000831F2" w:rsidRDefault="00B4357A" w:rsidP="00B4357A">
            <w:pPr>
              <w:snapToGrid w:val="0"/>
              <w:jc w:val="center"/>
              <w:rPr>
                <w:rFonts w:ascii="Times New Roman" w:hAnsi="Times New Roman" w:cs="Times New Roman"/>
                <w:sz w:val="20"/>
                <w:szCs w:val="20"/>
                <w:lang w:val="de-DE"/>
              </w:rPr>
            </w:pPr>
            <w:r w:rsidRPr="000831F2">
              <w:rPr>
                <w:rFonts w:ascii="Times New Roman" w:hAnsi="Times New Roman" w:cs="Times New Roman"/>
                <w:sz w:val="20"/>
                <w:szCs w:val="20"/>
                <w:lang w:val="de-DE"/>
              </w:rPr>
              <w:t>2.3</w:t>
            </w:r>
            <w:r w:rsidRPr="000831F2">
              <w:rPr>
                <w:rFonts w:ascii="Times New Roman" w:hAnsi="Times New Roman" w:cs="Times New Roman"/>
                <w:sz w:val="20"/>
                <w:szCs w:val="20"/>
                <w:lang w:val="en-US"/>
              </w:rPr>
              <w:t>±0.2</w:t>
            </w:r>
          </w:p>
        </w:tc>
        <w:tc>
          <w:tcPr>
            <w:tcW w:w="1126" w:type="pct"/>
            <w:tcBorders>
              <w:top w:val="single" w:sz="4" w:space="0" w:color="000000"/>
            </w:tcBorders>
            <w:vAlign w:val="center"/>
          </w:tcPr>
          <w:p w:rsidR="00B4357A" w:rsidRPr="000831F2" w:rsidRDefault="00B4357A" w:rsidP="00B4357A">
            <w:pPr>
              <w:snapToGrid w:val="0"/>
              <w:jc w:val="center"/>
              <w:rPr>
                <w:rFonts w:ascii="Times New Roman" w:hAnsi="Times New Roman" w:cs="Times New Roman"/>
                <w:sz w:val="20"/>
                <w:szCs w:val="20"/>
                <w:lang w:val="de-DE"/>
              </w:rPr>
            </w:pPr>
            <w:r>
              <w:rPr>
                <w:rFonts w:ascii="Times New Roman" w:hAnsi="Times New Roman" w:cs="Times New Roman"/>
                <w:sz w:val="20"/>
                <w:szCs w:val="20"/>
                <w:lang w:val="de-DE"/>
              </w:rPr>
              <w:t>1.2</w:t>
            </w:r>
            <w:r w:rsidR="00594B88">
              <w:rPr>
                <w:rFonts w:ascii="Times New Roman" w:hAnsi="Times New Roman" w:cs="Times New Roman"/>
                <w:sz w:val="20"/>
                <w:szCs w:val="20"/>
                <w:lang w:val="en-US"/>
              </w:rPr>
              <w:t>±0.2</w:t>
            </w:r>
          </w:p>
        </w:tc>
        <w:tc>
          <w:tcPr>
            <w:tcW w:w="1485" w:type="pct"/>
            <w:tcBorders>
              <w:top w:val="single" w:sz="4" w:space="0" w:color="000000"/>
            </w:tcBorders>
            <w:vAlign w:val="center"/>
          </w:tcPr>
          <w:p w:rsidR="00B4357A" w:rsidRPr="000831F2" w:rsidRDefault="00B4357A" w:rsidP="00B4357A">
            <w:pPr>
              <w:snapToGrid w:val="0"/>
              <w:jc w:val="center"/>
              <w:rPr>
                <w:rFonts w:ascii="Times New Roman" w:hAnsi="Times New Roman" w:cs="Times New Roman"/>
                <w:sz w:val="20"/>
                <w:szCs w:val="20"/>
                <w:lang w:val="de-DE"/>
              </w:rPr>
            </w:pPr>
            <w:r>
              <w:rPr>
                <w:rFonts w:ascii="Times New Roman" w:hAnsi="Times New Roman" w:cs="Times New Roman"/>
                <w:sz w:val="20"/>
                <w:szCs w:val="20"/>
                <w:lang w:val="de-DE"/>
              </w:rPr>
              <w:t>0.8</w:t>
            </w:r>
            <w:r>
              <w:rPr>
                <w:rFonts w:ascii="Times New Roman" w:hAnsi="Times New Roman" w:cs="Times New Roman"/>
                <w:sz w:val="20"/>
                <w:szCs w:val="20"/>
                <w:lang w:val="en-US"/>
              </w:rPr>
              <w:t>±0.1</w:t>
            </w:r>
          </w:p>
        </w:tc>
      </w:tr>
      <w:tr w:rsidR="00B4357A" w:rsidRPr="00A03425" w:rsidTr="00B4357A">
        <w:trPr>
          <w:trHeight w:val="170"/>
          <w:jc w:val="center"/>
        </w:trPr>
        <w:tc>
          <w:tcPr>
            <w:tcW w:w="1518" w:type="pct"/>
            <w:vAlign w:val="center"/>
          </w:tcPr>
          <w:p w:rsidR="00B4357A" w:rsidRPr="00A03425" w:rsidRDefault="00B4357A" w:rsidP="00B4357A">
            <w:pPr>
              <w:snapToGrid w:val="0"/>
              <w:jc w:val="both"/>
              <w:rPr>
                <w:rFonts w:ascii="Times New Roman" w:hAnsi="Times New Roman" w:cs="Times New Roman"/>
                <w:sz w:val="20"/>
                <w:szCs w:val="20"/>
                <w:lang w:val="de-DE"/>
              </w:rPr>
            </w:pPr>
            <w:r w:rsidRPr="00DB1374">
              <w:rPr>
                <w:rFonts w:ascii="Times New Roman" w:hAnsi="Times New Roman" w:cs="Times New Roman"/>
                <w:sz w:val="20"/>
                <w:szCs w:val="20"/>
                <w:lang w:val="de-DE"/>
              </w:rPr>
              <w:t>C16:1</w:t>
            </w:r>
            <w:r w:rsidRPr="00DB1374">
              <w:rPr>
                <w:rFonts w:ascii="Times New Roman" w:hAnsi="Times New Roman" w:cs="Times New Roman"/>
                <w:i/>
                <w:sz w:val="20"/>
                <w:szCs w:val="20"/>
                <w:lang w:val="de-DE"/>
              </w:rPr>
              <w:t>iso</w:t>
            </w:r>
          </w:p>
        </w:tc>
        <w:tc>
          <w:tcPr>
            <w:tcW w:w="871" w:type="pct"/>
            <w:vAlign w:val="center"/>
          </w:tcPr>
          <w:p w:rsidR="00B4357A" w:rsidRPr="000831F2" w:rsidRDefault="00B4357A" w:rsidP="00B4357A">
            <w:pPr>
              <w:snapToGrid w:val="0"/>
              <w:jc w:val="center"/>
              <w:rPr>
                <w:rFonts w:ascii="Times New Roman" w:hAnsi="Times New Roman" w:cs="Times New Roman"/>
                <w:sz w:val="20"/>
                <w:szCs w:val="20"/>
              </w:rPr>
            </w:pPr>
            <w:r w:rsidRPr="000831F2">
              <w:rPr>
                <w:rFonts w:ascii="Times New Roman" w:hAnsi="Times New Roman" w:cs="Times New Roman"/>
                <w:sz w:val="20"/>
                <w:szCs w:val="20"/>
              </w:rPr>
              <w:t>0.3</w:t>
            </w:r>
            <w:r w:rsidRPr="000831F2">
              <w:rPr>
                <w:rFonts w:ascii="Times New Roman" w:hAnsi="Times New Roman" w:cs="Times New Roman"/>
                <w:sz w:val="20"/>
                <w:szCs w:val="20"/>
                <w:lang w:val="en-US"/>
              </w:rPr>
              <w:t>±0.1</w:t>
            </w:r>
          </w:p>
        </w:tc>
        <w:tc>
          <w:tcPr>
            <w:tcW w:w="1126" w:type="pct"/>
            <w:vAlign w:val="center"/>
          </w:tcPr>
          <w:p w:rsidR="00B4357A" w:rsidRPr="000831F2" w:rsidRDefault="00B4357A" w:rsidP="00B4357A">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n.d</w:t>
            </w:r>
            <w:proofErr w:type="spellEnd"/>
          </w:p>
        </w:tc>
        <w:tc>
          <w:tcPr>
            <w:tcW w:w="1485" w:type="pct"/>
            <w:vAlign w:val="center"/>
          </w:tcPr>
          <w:p w:rsidR="00B4357A" w:rsidRPr="000831F2" w:rsidRDefault="00B4357A" w:rsidP="00B4357A">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n.d</w:t>
            </w:r>
            <w:proofErr w:type="spellEnd"/>
          </w:p>
        </w:tc>
      </w:tr>
      <w:tr w:rsidR="00B4357A" w:rsidRPr="00A03425" w:rsidTr="00B4357A">
        <w:trPr>
          <w:trHeight w:val="170"/>
          <w:jc w:val="center"/>
        </w:trPr>
        <w:tc>
          <w:tcPr>
            <w:tcW w:w="1518" w:type="pct"/>
            <w:vAlign w:val="center"/>
          </w:tcPr>
          <w:p w:rsidR="00B4357A" w:rsidRPr="00A03425" w:rsidRDefault="00B4357A" w:rsidP="00B4357A">
            <w:pPr>
              <w:snapToGrid w:val="0"/>
              <w:jc w:val="both"/>
              <w:rPr>
                <w:rFonts w:ascii="Times New Roman" w:hAnsi="Times New Roman" w:cs="Times New Roman"/>
                <w:sz w:val="20"/>
                <w:szCs w:val="20"/>
              </w:rPr>
            </w:pPr>
            <w:r w:rsidRPr="00DB1374">
              <w:rPr>
                <w:rFonts w:ascii="Times New Roman" w:hAnsi="Times New Roman" w:cs="Times New Roman"/>
                <w:sz w:val="20"/>
                <w:szCs w:val="20"/>
              </w:rPr>
              <w:t>C18:1Δ</w:t>
            </w:r>
            <w:r w:rsidRPr="00DB1374">
              <w:rPr>
                <w:rFonts w:ascii="Times New Roman" w:hAnsi="Times New Roman" w:cs="Times New Roman"/>
                <w:sz w:val="20"/>
                <w:szCs w:val="20"/>
                <w:vertAlign w:val="superscript"/>
              </w:rPr>
              <w:t>9</w:t>
            </w:r>
            <w:r w:rsidRPr="00DB1374">
              <w:rPr>
                <w:rFonts w:ascii="Times New Roman" w:hAnsi="Times New Roman" w:cs="Times New Roman"/>
                <w:i/>
                <w:iCs/>
                <w:sz w:val="20"/>
                <w:szCs w:val="20"/>
                <w:vertAlign w:val="superscript"/>
              </w:rPr>
              <w:t>t</w:t>
            </w:r>
          </w:p>
        </w:tc>
        <w:tc>
          <w:tcPr>
            <w:tcW w:w="871" w:type="pct"/>
            <w:vAlign w:val="center"/>
          </w:tcPr>
          <w:p w:rsidR="00B4357A" w:rsidRPr="000831F2" w:rsidRDefault="00B4357A" w:rsidP="00B4357A">
            <w:pPr>
              <w:snapToGrid w:val="0"/>
              <w:jc w:val="center"/>
              <w:rPr>
                <w:rFonts w:ascii="Times New Roman" w:hAnsi="Times New Roman" w:cs="Times New Roman"/>
                <w:sz w:val="20"/>
                <w:szCs w:val="20"/>
              </w:rPr>
            </w:pPr>
            <w:r w:rsidRPr="000831F2">
              <w:rPr>
                <w:rFonts w:ascii="Times New Roman" w:hAnsi="Times New Roman" w:cs="Times New Roman"/>
                <w:sz w:val="20"/>
                <w:szCs w:val="20"/>
              </w:rPr>
              <w:t>0.1</w:t>
            </w:r>
            <w:r w:rsidRPr="000831F2">
              <w:rPr>
                <w:rFonts w:ascii="Times New Roman" w:hAnsi="Times New Roman" w:cs="Times New Roman"/>
                <w:sz w:val="20"/>
                <w:szCs w:val="20"/>
                <w:lang w:val="en-US"/>
              </w:rPr>
              <w:t>±0.0</w:t>
            </w:r>
          </w:p>
        </w:tc>
        <w:tc>
          <w:tcPr>
            <w:tcW w:w="1126" w:type="pct"/>
            <w:vAlign w:val="center"/>
          </w:tcPr>
          <w:p w:rsidR="00B4357A" w:rsidRPr="000831F2" w:rsidRDefault="00B4357A" w:rsidP="00B4357A">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n.d.</w:t>
            </w:r>
            <w:proofErr w:type="spellEnd"/>
          </w:p>
        </w:tc>
        <w:tc>
          <w:tcPr>
            <w:tcW w:w="1485" w:type="pct"/>
            <w:vAlign w:val="center"/>
          </w:tcPr>
          <w:p w:rsidR="00B4357A" w:rsidRPr="000831F2" w:rsidRDefault="00B4357A" w:rsidP="00B4357A">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n.d.</w:t>
            </w:r>
            <w:proofErr w:type="spellEnd"/>
          </w:p>
        </w:tc>
      </w:tr>
      <w:tr w:rsidR="00B4357A" w:rsidRPr="00A03425" w:rsidTr="00B4357A">
        <w:trPr>
          <w:trHeight w:val="170"/>
          <w:jc w:val="center"/>
        </w:trPr>
        <w:tc>
          <w:tcPr>
            <w:tcW w:w="1518" w:type="pct"/>
            <w:vAlign w:val="center"/>
          </w:tcPr>
          <w:p w:rsidR="00B4357A" w:rsidRPr="00A03425" w:rsidRDefault="00B4357A" w:rsidP="00B4357A">
            <w:pPr>
              <w:snapToGrid w:val="0"/>
              <w:jc w:val="both"/>
              <w:rPr>
                <w:rFonts w:ascii="Times New Roman" w:hAnsi="Times New Roman" w:cs="Times New Roman"/>
                <w:sz w:val="20"/>
                <w:szCs w:val="20"/>
                <w:lang w:val="en-US"/>
              </w:rPr>
            </w:pPr>
            <w:r w:rsidRPr="00DB1374">
              <w:rPr>
                <w:rFonts w:ascii="Times New Roman" w:hAnsi="Times New Roman" w:cs="Times New Roman"/>
                <w:bCs/>
                <w:sz w:val="20"/>
                <w:szCs w:val="20"/>
                <w:lang w:val="en-GB"/>
              </w:rPr>
              <w:t>C18:1</w:t>
            </w:r>
            <w:r w:rsidRPr="00DB1374">
              <w:rPr>
                <w:rFonts w:ascii="Times New Roman" w:hAnsi="Times New Roman" w:cs="Times New Roman"/>
                <w:sz w:val="20"/>
                <w:szCs w:val="20"/>
              </w:rPr>
              <w:t>Δ</w:t>
            </w:r>
            <w:r w:rsidRPr="00DB1374">
              <w:rPr>
                <w:rFonts w:ascii="Times New Roman" w:hAnsi="Times New Roman" w:cs="Times New Roman"/>
                <w:sz w:val="20"/>
                <w:szCs w:val="20"/>
                <w:vertAlign w:val="superscript"/>
              </w:rPr>
              <w:t>9c</w:t>
            </w:r>
            <w:r w:rsidRPr="00DB1374">
              <w:rPr>
                <w:rFonts w:ascii="Times New Roman" w:hAnsi="Times New Roman" w:cs="Times New Roman"/>
                <w:sz w:val="20"/>
                <w:szCs w:val="20"/>
                <w:lang w:val="en-US"/>
              </w:rPr>
              <w:t xml:space="preserve"> + </w:t>
            </w:r>
            <w:r w:rsidRPr="00DB1374">
              <w:rPr>
                <w:rFonts w:ascii="Times New Roman" w:hAnsi="Times New Roman" w:cs="Times New Roman"/>
                <w:bCs/>
                <w:sz w:val="20"/>
                <w:szCs w:val="20"/>
                <w:lang w:val="en-GB"/>
              </w:rPr>
              <w:t>C18:1</w:t>
            </w:r>
            <w:r w:rsidRPr="00DB1374">
              <w:rPr>
                <w:rFonts w:ascii="Times New Roman" w:hAnsi="Times New Roman" w:cs="Times New Roman"/>
                <w:sz w:val="20"/>
                <w:szCs w:val="20"/>
              </w:rPr>
              <w:t>Δ</w:t>
            </w:r>
            <w:r w:rsidRPr="00DB1374">
              <w:rPr>
                <w:rFonts w:ascii="Times New Roman" w:hAnsi="Times New Roman" w:cs="Times New Roman"/>
                <w:sz w:val="20"/>
                <w:szCs w:val="20"/>
                <w:vertAlign w:val="superscript"/>
              </w:rPr>
              <w:t>11c</w:t>
            </w:r>
            <w:r w:rsidRPr="00DB1374">
              <w:rPr>
                <w:rFonts w:ascii="Times New Roman" w:hAnsi="Times New Roman" w:cs="Times New Roman"/>
                <w:sz w:val="20"/>
                <w:szCs w:val="20"/>
                <w:lang w:val="en-US"/>
              </w:rPr>
              <w:t xml:space="preserve">  </w:t>
            </w:r>
          </w:p>
        </w:tc>
        <w:tc>
          <w:tcPr>
            <w:tcW w:w="871" w:type="pct"/>
            <w:vAlign w:val="center"/>
          </w:tcPr>
          <w:p w:rsidR="00B4357A" w:rsidRPr="00A03425"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42.7</w:t>
            </w:r>
            <w:r>
              <w:rPr>
                <w:rFonts w:ascii="Times New Roman" w:hAnsi="Times New Roman" w:cs="Times New Roman"/>
                <w:sz w:val="20"/>
                <w:szCs w:val="20"/>
                <w:lang w:val="en-US"/>
              </w:rPr>
              <w:t>±0.5</w:t>
            </w:r>
          </w:p>
        </w:tc>
        <w:tc>
          <w:tcPr>
            <w:tcW w:w="1126" w:type="pct"/>
            <w:vAlign w:val="center"/>
          </w:tcPr>
          <w:p w:rsidR="00B4357A"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17.4</w:t>
            </w:r>
            <w:r w:rsidR="00594B88">
              <w:rPr>
                <w:rFonts w:ascii="Times New Roman" w:hAnsi="Times New Roman" w:cs="Times New Roman"/>
                <w:sz w:val="20"/>
                <w:szCs w:val="20"/>
                <w:lang w:val="en-US"/>
              </w:rPr>
              <w:t>±1.1</w:t>
            </w:r>
          </w:p>
        </w:tc>
        <w:tc>
          <w:tcPr>
            <w:tcW w:w="1485" w:type="pct"/>
            <w:vAlign w:val="center"/>
          </w:tcPr>
          <w:p w:rsidR="00B4357A" w:rsidRDefault="00594B88" w:rsidP="00B4357A">
            <w:pPr>
              <w:snapToGrid w:val="0"/>
              <w:jc w:val="center"/>
              <w:rPr>
                <w:rFonts w:ascii="Times New Roman" w:hAnsi="Times New Roman" w:cs="Times New Roman"/>
                <w:sz w:val="20"/>
                <w:szCs w:val="20"/>
              </w:rPr>
            </w:pPr>
            <w:r>
              <w:rPr>
                <w:rFonts w:ascii="Times New Roman" w:hAnsi="Times New Roman" w:cs="Times New Roman"/>
                <w:sz w:val="20"/>
                <w:szCs w:val="20"/>
              </w:rPr>
              <w:t>16.5±1.9</w:t>
            </w:r>
          </w:p>
        </w:tc>
      </w:tr>
      <w:tr w:rsidR="00B4357A" w:rsidRPr="00A03425" w:rsidTr="00B4357A">
        <w:trPr>
          <w:trHeight w:val="170"/>
          <w:jc w:val="center"/>
        </w:trPr>
        <w:tc>
          <w:tcPr>
            <w:tcW w:w="1518" w:type="pct"/>
            <w:vAlign w:val="center"/>
          </w:tcPr>
          <w:p w:rsidR="00B4357A" w:rsidRPr="00A03425" w:rsidRDefault="00B4357A" w:rsidP="00B4357A">
            <w:pPr>
              <w:snapToGrid w:val="0"/>
              <w:jc w:val="both"/>
              <w:rPr>
                <w:rFonts w:ascii="Times New Roman" w:hAnsi="Times New Roman" w:cs="Times New Roman"/>
                <w:sz w:val="20"/>
                <w:szCs w:val="20"/>
                <w:lang w:val="de-DE"/>
              </w:rPr>
            </w:pPr>
            <w:r w:rsidRPr="00DB1374">
              <w:rPr>
                <w:rFonts w:ascii="Times New Roman" w:hAnsi="Times New Roman" w:cs="Times New Roman"/>
                <w:sz w:val="20"/>
                <w:szCs w:val="20"/>
                <w:lang w:val="de-DE"/>
              </w:rPr>
              <w:t>C20:1</w:t>
            </w:r>
            <w:r w:rsidRPr="00DB1374">
              <w:rPr>
                <w:rFonts w:ascii="Times New Roman" w:hAnsi="Times New Roman" w:cs="Times New Roman"/>
                <w:sz w:val="20"/>
                <w:szCs w:val="20"/>
              </w:rPr>
              <w:t>Δ</w:t>
            </w:r>
            <w:r w:rsidRPr="00DB1374">
              <w:rPr>
                <w:rFonts w:ascii="Times New Roman" w:hAnsi="Times New Roman" w:cs="Times New Roman"/>
                <w:sz w:val="20"/>
                <w:szCs w:val="20"/>
                <w:vertAlign w:val="superscript"/>
              </w:rPr>
              <w:t>11c</w:t>
            </w:r>
          </w:p>
        </w:tc>
        <w:tc>
          <w:tcPr>
            <w:tcW w:w="871" w:type="pct"/>
            <w:vAlign w:val="center"/>
          </w:tcPr>
          <w:p w:rsidR="00B4357A" w:rsidRPr="00A03425" w:rsidRDefault="00B4357A" w:rsidP="00B4357A">
            <w:pPr>
              <w:snapToGrid w:val="0"/>
              <w:jc w:val="center"/>
              <w:rPr>
                <w:rFonts w:ascii="Times New Roman" w:hAnsi="Times New Roman" w:cs="Times New Roman"/>
                <w:sz w:val="20"/>
                <w:szCs w:val="20"/>
                <w:lang w:val="de-DE"/>
              </w:rPr>
            </w:pPr>
            <w:r>
              <w:rPr>
                <w:rFonts w:ascii="Times New Roman" w:hAnsi="Times New Roman" w:cs="Times New Roman"/>
                <w:sz w:val="20"/>
                <w:szCs w:val="20"/>
                <w:lang w:val="de-DE"/>
              </w:rPr>
              <w:t>1.0</w:t>
            </w:r>
            <w:r w:rsidRPr="00FF63FC">
              <w:rPr>
                <w:rFonts w:ascii="Times New Roman" w:hAnsi="Times New Roman" w:cs="Times New Roman"/>
                <w:sz w:val="20"/>
                <w:szCs w:val="20"/>
              </w:rPr>
              <w:t>±0.1</w:t>
            </w:r>
          </w:p>
        </w:tc>
        <w:tc>
          <w:tcPr>
            <w:tcW w:w="1126" w:type="pct"/>
            <w:vAlign w:val="center"/>
          </w:tcPr>
          <w:p w:rsidR="00B4357A" w:rsidRDefault="00B4357A" w:rsidP="00B4357A">
            <w:pPr>
              <w:snapToGrid w:val="0"/>
              <w:jc w:val="center"/>
              <w:rPr>
                <w:rFonts w:ascii="Times New Roman" w:hAnsi="Times New Roman" w:cs="Times New Roman"/>
                <w:sz w:val="20"/>
                <w:szCs w:val="20"/>
                <w:lang w:val="de-DE"/>
              </w:rPr>
            </w:pPr>
            <w:r>
              <w:rPr>
                <w:rFonts w:ascii="Times New Roman" w:hAnsi="Times New Roman" w:cs="Times New Roman"/>
                <w:sz w:val="20"/>
                <w:szCs w:val="20"/>
                <w:lang w:val="de-DE"/>
              </w:rPr>
              <w:t>0.1</w:t>
            </w:r>
            <w:r w:rsidRPr="00594B88">
              <w:rPr>
                <w:rFonts w:ascii="Times New Roman" w:hAnsi="Times New Roman" w:cs="Times New Roman"/>
                <w:sz w:val="20"/>
                <w:szCs w:val="20"/>
              </w:rPr>
              <w:t>±0.0</w:t>
            </w:r>
          </w:p>
        </w:tc>
        <w:tc>
          <w:tcPr>
            <w:tcW w:w="1485" w:type="pct"/>
            <w:vAlign w:val="center"/>
          </w:tcPr>
          <w:p w:rsidR="00B4357A" w:rsidRDefault="00B4357A" w:rsidP="00B4357A">
            <w:pPr>
              <w:snapToGrid w:val="0"/>
              <w:jc w:val="center"/>
              <w:rPr>
                <w:rFonts w:ascii="Times New Roman" w:hAnsi="Times New Roman" w:cs="Times New Roman"/>
                <w:sz w:val="20"/>
                <w:szCs w:val="20"/>
                <w:lang w:val="de-DE"/>
              </w:rPr>
            </w:pPr>
            <w:r>
              <w:rPr>
                <w:rFonts w:ascii="Times New Roman" w:hAnsi="Times New Roman" w:cs="Times New Roman"/>
                <w:sz w:val="20"/>
                <w:szCs w:val="20"/>
                <w:lang w:val="de-DE"/>
              </w:rPr>
              <w:t>0.2</w:t>
            </w:r>
            <w:r w:rsidRPr="00594B88">
              <w:rPr>
                <w:rFonts w:ascii="Times New Roman" w:hAnsi="Times New Roman" w:cs="Times New Roman"/>
                <w:sz w:val="20"/>
                <w:szCs w:val="20"/>
              </w:rPr>
              <w:t>±0.0</w:t>
            </w:r>
          </w:p>
        </w:tc>
      </w:tr>
      <w:tr w:rsidR="00B4357A" w:rsidRPr="00A03425" w:rsidTr="00B4357A">
        <w:trPr>
          <w:trHeight w:val="170"/>
          <w:jc w:val="center"/>
        </w:trPr>
        <w:tc>
          <w:tcPr>
            <w:tcW w:w="1518" w:type="pct"/>
            <w:tcBorders>
              <w:bottom w:val="single" w:sz="4" w:space="0" w:color="000000"/>
            </w:tcBorders>
            <w:vAlign w:val="center"/>
          </w:tcPr>
          <w:p w:rsidR="00B4357A" w:rsidRPr="00A03425" w:rsidRDefault="00B4357A" w:rsidP="00B4357A">
            <w:pPr>
              <w:snapToGrid w:val="0"/>
              <w:jc w:val="both"/>
              <w:rPr>
                <w:rFonts w:ascii="Times New Roman" w:hAnsi="Times New Roman" w:cs="Times New Roman"/>
                <w:b/>
                <w:sz w:val="20"/>
                <w:szCs w:val="20"/>
                <w:lang w:val="de-DE"/>
              </w:rPr>
            </w:pPr>
            <w:r w:rsidRPr="00DB1374">
              <w:rPr>
                <w:rFonts w:ascii="Times New Roman" w:hAnsi="Times New Roman" w:cs="Times New Roman"/>
                <w:b/>
                <w:sz w:val="20"/>
                <w:szCs w:val="20"/>
                <w:lang w:val="de-DE"/>
              </w:rPr>
              <w:sym w:font="Symbol" w:char="F0E5"/>
            </w:r>
            <w:r w:rsidRPr="00DB1374">
              <w:rPr>
                <w:rFonts w:ascii="Times New Roman" w:hAnsi="Times New Roman" w:cs="Times New Roman"/>
                <w:b/>
                <w:sz w:val="20"/>
                <w:szCs w:val="20"/>
                <w:lang w:val="de-DE"/>
              </w:rPr>
              <w:t xml:space="preserve"> MUFA</w:t>
            </w:r>
          </w:p>
        </w:tc>
        <w:tc>
          <w:tcPr>
            <w:tcW w:w="871" w:type="pct"/>
            <w:tcBorders>
              <w:bottom w:val="single" w:sz="4" w:space="0" w:color="000000"/>
            </w:tcBorders>
            <w:vAlign w:val="center"/>
          </w:tcPr>
          <w:p w:rsidR="00B4357A" w:rsidRPr="004137ED" w:rsidRDefault="00B4357A" w:rsidP="00B4357A">
            <w:pPr>
              <w:snapToGrid w:val="0"/>
              <w:jc w:val="center"/>
              <w:rPr>
                <w:rFonts w:ascii="Times New Roman" w:hAnsi="Times New Roman" w:cs="Times New Roman"/>
                <w:sz w:val="20"/>
                <w:szCs w:val="20"/>
              </w:rPr>
            </w:pPr>
            <w:r w:rsidRPr="004137ED">
              <w:rPr>
                <w:rFonts w:ascii="Times New Roman" w:hAnsi="Times New Roman" w:cs="Times New Roman"/>
                <w:sz w:val="20"/>
                <w:szCs w:val="20"/>
              </w:rPr>
              <w:t>46.5</w:t>
            </w:r>
            <w:r w:rsidRPr="00FF63FC">
              <w:rPr>
                <w:rFonts w:ascii="Times New Roman" w:hAnsi="Times New Roman" w:cs="Times New Roman"/>
                <w:sz w:val="20"/>
                <w:szCs w:val="20"/>
              </w:rPr>
              <w:t>±0.3</w:t>
            </w:r>
          </w:p>
        </w:tc>
        <w:tc>
          <w:tcPr>
            <w:tcW w:w="1126" w:type="pct"/>
            <w:tcBorders>
              <w:bottom w:val="single" w:sz="4" w:space="0" w:color="000000"/>
            </w:tcBorders>
            <w:vAlign w:val="center"/>
          </w:tcPr>
          <w:p w:rsidR="00B4357A" w:rsidRPr="004137ED" w:rsidRDefault="00594B88" w:rsidP="00B4357A">
            <w:pPr>
              <w:snapToGrid w:val="0"/>
              <w:jc w:val="center"/>
              <w:rPr>
                <w:rFonts w:ascii="Times New Roman" w:hAnsi="Times New Roman" w:cs="Times New Roman"/>
                <w:sz w:val="20"/>
                <w:szCs w:val="20"/>
              </w:rPr>
            </w:pPr>
            <w:r>
              <w:rPr>
                <w:rFonts w:ascii="Times New Roman" w:hAnsi="Times New Roman" w:cs="Times New Roman"/>
                <w:sz w:val="20"/>
                <w:szCs w:val="20"/>
              </w:rPr>
              <w:t>19.6</w:t>
            </w:r>
            <w:r w:rsidR="00B4357A" w:rsidRPr="00594B88">
              <w:rPr>
                <w:rFonts w:ascii="Times New Roman" w:hAnsi="Times New Roman" w:cs="Times New Roman"/>
                <w:sz w:val="20"/>
                <w:szCs w:val="20"/>
              </w:rPr>
              <w:t>±1.2</w:t>
            </w:r>
          </w:p>
        </w:tc>
        <w:tc>
          <w:tcPr>
            <w:tcW w:w="1485" w:type="pct"/>
            <w:tcBorders>
              <w:bottom w:val="single" w:sz="4" w:space="0" w:color="000000"/>
            </w:tcBorders>
            <w:vAlign w:val="center"/>
          </w:tcPr>
          <w:p w:rsidR="00B4357A" w:rsidRPr="004137ED" w:rsidRDefault="00594B88" w:rsidP="00B4357A">
            <w:pPr>
              <w:snapToGrid w:val="0"/>
              <w:jc w:val="center"/>
              <w:rPr>
                <w:rFonts w:ascii="Times New Roman" w:hAnsi="Times New Roman" w:cs="Times New Roman"/>
                <w:sz w:val="20"/>
                <w:szCs w:val="20"/>
              </w:rPr>
            </w:pPr>
            <w:r>
              <w:rPr>
                <w:rFonts w:ascii="Times New Roman" w:hAnsi="Times New Roman" w:cs="Times New Roman"/>
                <w:sz w:val="20"/>
                <w:szCs w:val="20"/>
              </w:rPr>
              <w:t>19.2±1.9</w:t>
            </w:r>
          </w:p>
        </w:tc>
      </w:tr>
      <w:tr w:rsidR="00B4357A" w:rsidRPr="00A03425" w:rsidTr="00B4357A">
        <w:trPr>
          <w:trHeight w:val="170"/>
          <w:jc w:val="center"/>
        </w:trPr>
        <w:tc>
          <w:tcPr>
            <w:tcW w:w="1518" w:type="pct"/>
            <w:vAlign w:val="center"/>
          </w:tcPr>
          <w:p w:rsidR="00B4357A" w:rsidRPr="00A03425" w:rsidRDefault="00B4357A" w:rsidP="00B4357A">
            <w:pPr>
              <w:snapToGrid w:val="0"/>
              <w:jc w:val="both"/>
              <w:rPr>
                <w:rFonts w:ascii="Times New Roman" w:hAnsi="Times New Roman" w:cs="Times New Roman"/>
                <w:sz w:val="20"/>
                <w:szCs w:val="20"/>
                <w:lang w:val="de-DE"/>
              </w:rPr>
            </w:pPr>
            <w:r w:rsidRPr="00DB1374">
              <w:rPr>
                <w:rFonts w:ascii="Times New Roman" w:hAnsi="Times New Roman" w:cs="Times New Roman"/>
                <w:sz w:val="20"/>
                <w:szCs w:val="20"/>
              </w:rPr>
              <w:t>C18:2 Δ</w:t>
            </w:r>
            <w:r w:rsidRPr="00DB1374">
              <w:rPr>
                <w:rFonts w:ascii="Times New Roman" w:hAnsi="Times New Roman" w:cs="Times New Roman"/>
                <w:sz w:val="20"/>
                <w:szCs w:val="20"/>
                <w:vertAlign w:val="superscript"/>
              </w:rPr>
              <w:t>9t,12t</w:t>
            </w:r>
            <w:r w:rsidRPr="00DB1374">
              <w:rPr>
                <w:rFonts w:ascii="Times New Roman" w:hAnsi="Times New Roman" w:cs="Times New Roman"/>
                <w:sz w:val="20"/>
                <w:szCs w:val="20"/>
              </w:rPr>
              <w:t xml:space="preserve"> </w:t>
            </w:r>
          </w:p>
        </w:tc>
        <w:tc>
          <w:tcPr>
            <w:tcW w:w="871" w:type="pct"/>
            <w:vAlign w:val="center"/>
          </w:tcPr>
          <w:p w:rsidR="00B4357A" w:rsidRPr="00A03425" w:rsidRDefault="00B4357A" w:rsidP="00B4357A">
            <w:pPr>
              <w:snapToGrid w:val="0"/>
              <w:jc w:val="center"/>
              <w:rPr>
                <w:rFonts w:ascii="Times New Roman" w:hAnsi="Times New Roman" w:cs="Times New Roman"/>
                <w:sz w:val="20"/>
                <w:szCs w:val="20"/>
                <w:lang w:val="de-DE"/>
              </w:rPr>
            </w:pPr>
            <w:r>
              <w:rPr>
                <w:rFonts w:ascii="Times New Roman" w:hAnsi="Times New Roman" w:cs="Times New Roman"/>
                <w:sz w:val="20"/>
                <w:szCs w:val="20"/>
                <w:lang w:val="de-DE"/>
              </w:rPr>
              <w:t>0.1</w:t>
            </w:r>
            <w:r w:rsidRPr="00FF63FC">
              <w:rPr>
                <w:rFonts w:ascii="Times New Roman" w:hAnsi="Times New Roman" w:cs="Times New Roman"/>
                <w:sz w:val="20"/>
                <w:szCs w:val="20"/>
              </w:rPr>
              <w:t>±0.0</w:t>
            </w:r>
          </w:p>
        </w:tc>
        <w:tc>
          <w:tcPr>
            <w:tcW w:w="1126" w:type="pct"/>
            <w:vAlign w:val="center"/>
          </w:tcPr>
          <w:p w:rsidR="00B4357A" w:rsidRDefault="00B4357A" w:rsidP="00B4357A">
            <w:pPr>
              <w:snapToGrid w:val="0"/>
              <w:jc w:val="center"/>
              <w:rPr>
                <w:rFonts w:ascii="Times New Roman" w:hAnsi="Times New Roman" w:cs="Times New Roman"/>
                <w:sz w:val="20"/>
                <w:szCs w:val="20"/>
                <w:lang w:val="de-DE"/>
              </w:rPr>
            </w:pPr>
            <w:proofErr w:type="spellStart"/>
            <w:r>
              <w:rPr>
                <w:rFonts w:ascii="Times New Roman" w:hAnsi="Times New Roman" w:cs="Times New Roman"/>
                <w:sz w:val="20"/>
                <w:szCs w:val="20"/>
                <w:lang w:val="de-DE"/>
              </w:rPr>
              <w:t>n.d</w:t>
            </w:r>
            <w:proofErr w:type="spellEnd"/>
          </w:p>
        </w:tc>
        <w:tc>
          <w:tcPr>
            <w:tcW w:w="1485" w:type="pct"/>
            <w:vAlign w:val="center"/>
          </w:tcPr>
          <w:p w:rsidR="00B4357A" w:rsidRDefault="00B4357A" w:rsidP="00B4357A">
            <w:pPr>
              <w:snapToGrid w:val="0"/>
              <w:jc w:val="center"/>
              <w:rPr>
                <w:rFonts w:ascii="Times New Roman" w:hAnsi="Times New Roman" w:cs="Times New Roman"/>
                <w:sz w:val="20"/>
                <w:szCs w:val="20"/>
                <w:lang w:val="de-DE"/>
              </w:rPr>
            </w:pPr>
            <w:proofErr w:type="spellStart"/>
            <w:r>
              <w:rPr>
                <w:rFonts w:ascii="Times New Roman" w:hAnsi="Times New Roman" w:cs="Times New Roman"/>
                <w:sz w:val="20"/>
                <w:szCs w:val="20"/>
                <w:lang w:val="de-DE"/>
              </w:rPr>
              <w:t>n.d</w:t>
            </w:r>
            <w:proofErr w:type="spellEnd"/>
          </w:p>
        </w:tc>
      </w:tr>
      <w:tr w:rsidR="00B4357A" w:rsidRPr="00594B88" w:rsidTr="00B4357A">
        <w:trPr>
          <w:trHeight w:val="170"/>
          <w:jc w:val="center"/>
        </w:trPr>
        <w:tc>
          <w:tcPr>
            <w:tcW w:w="1518" w:type="pct"/>
            <w:vAlign w:val="center"/>
          </w:tcPr>
          <w:p w:rsidR="00B4357A" w:rsidRPr="00A03425" w:rsidRDefault="00B4357A" w:rsidP="00B4357A">
            <w:pPr>
              <w:snapToGrid w:val="0"/>
              <w:jc w:val="both"/>
              <w:rPr>
                <w:rFonts w:ascii="Times New Roman" w:hAnsi="Times New Roman" w:cs="Times New Roman"/>
                <w:sz w:val="20"/>
                <w:szCs w:val="20"/>
                <w:lang w:val="de-DE"/>
              </w:rPr>
            </w:pPr>
            <w:r w:rsidRPr="00DB1374">
              <w:rPr>
                <w:rFonts w:ascii="Times New Roman" w:hAnsi="Times New Roman" w:cs="Times New Roman"/>
                <w:sz w:val="20"/>
                <w:szCs w:val="20"/>
              </w:rPr>
              <w:t>C18:2Δ</w:t>
            </w:r>
            <w:r w:rsidRPr="00DB1374">
              <w:rPr>
                <w:rFonts w:ascii="Times New Roman" w:hAnsi="Times New Roman" w:cs="Times New Roman"/>
                <w:sz w:val="20"/>
                <w:szCs w:val="20"/>
                <w:vertAlign w:val="superscript"/>
              </w:rPr>
              <w:t>9c,12c</w:t>
            </w:r>
            <w:r w:rsidRPr="00DB1374">
              <w:rPr>
                <w:rFonts w:ascii="Times New Roman" w:hAnsi="Times New Roman" w:cs="Times New Roman"/>
                <w:sz w:val="20"/>
                <w:szCs w:val="20"/>
              </w:rPr>
              <w:t xml:space="preserve"> </w:t>
            </w:r>
            <w:r w:rsidRPr="00DB1374">
              <w:rPr>
                <w:rFonts w:ascii="Times New Roman" w:hAnsi="Times New Roman" w:cs="Times New Roman"/>
                <w:sz w:val="16"/>
                <w:szCs w:val="20"/>
              </w:rPr>
              <w:t>[ω6]</w:t>
            </w:r>
          </w:p>
        </w:tc>
        <w:tc>
          <w:tcPr>
            <w:tcW w:w="871" w:type="pct"/>
            <w:vAlign w:val="center"/>
          </w:tcPr>
          <w:p w:rsidR="00B4357A" w:rsidRPr="00A03425"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9.8</w:t>
            </w:r>
            <w:r w:rsidRPr="00FF63FC">
              <w:rPr>
                <w:rFonts w:ascii="Times New Roman" w:hAnsi="Times New Roman" w:cs="Times New Roman"/>
                <w:sz w:val="20"/>
                <w:szCs w:val="20"/>
              </w:rPr>
              <w:t>±0.6</w:t>
            </w:r>
          </w:p>
        </w:tc>
        <w:tc>
          <w:tcPr>
            <w:tcW w:w="1126" w:type="pct"/>
            <w:vAlign w:val="center"/>
          </w:tcPr>
          <w:p w:rsidR="00B4357A" w:rsidRDefault="003F1C23" w:rsidP="00B4357A">
            <w:pPr>
              <w:snapToGrid w:val="0"/>
              <w:jc w:val="center"/>
              <w:rPr>
                <w:rFonts w:ascii="Times New Roman" w:hAnsi="Times New Roman" w:cs="Times New Roman"/>
                <w:sz w:val="20"/>
                <w:szCs w:val="20"/>
                <w:lang w:val="de-DE"/>
              </w:rPr>
            </w:pPr>
            <w:r>
              <w:rPr>
                <w:rFonts w:ascii="Times New Roman" w:hAnsi="Times New Roman" w:cs="Times New Roman"/>
                <w:sz w:val="20"/>
                <w:szCs w:val="20"/>
                <w:lang w:val="de-DE"/>
              </w:rPr>
              <w:t>19.4</w:t>
            </w:r>
            <w:r>
              <w:rPr>
                <w:rFonts w:ascii="Times New Roman" w:hAnsi="Times New Roman" w:cs="Times New Roman"/>
                <w:sz w:val="20"/>
                <w:szCs w:val="20"/>
              </w:rPr>
              <w:t>±3.0</w:t>
            </w:r>
          </w:p>
        </w:tc>
        <w:tc>
          <w:tcPr>
            <w:tcW w:w="1485" w:type="pct"/>
            <w:vAlign w:val="center"/>
          </w:tcPr>
          <w:p w:rsidR="00B4357A" w:rsidRDefault="00594B88" w:rsidP="00B4357A">
            <w:pPr>
              <w:snapToGrid w:val="0"/>
              <w:jc w:val="center"/>
              <w:rPr>
                <w:rFonts w:ascii="Times New Roman" w:hAnsi="Times New Roman" w:cs="Times New Roman"/>
                <w:sz w:val="20"/>
                <w:szCs w:val="20"/>
                <w:lang w:val="de-DE"/>
              </w:rPr>
            </w:pPr>
            <w:r>
              <w:rPr>
                <w:rFonts w:ascii="Times New Roman" w:hAnsi="Times New Roman" w:cs="Times New Roman"/>
                <w:sz w:val="20"/>
                <w:szCs w:val="20"/>
                <w:lang w:val="de-DE"/>
              </w:rPr>
              <w:t>18.7±1.8</w:t>
            </w:r>
          </w:p>
        </w:tc>
      </w:tr>
      <w:tr w:rsidR="00B4357A" w:rsidRPr="00594B88" w:rsidTr="00B4357A">
        <w:trPr>
          <w:trHeight w:val="170"/>
          <w:jc w:val="center"/>
        </w:trPr>
        <w:tc>
          <w:tcPr>
            <w:tcW w:w="1518" w:type="pct"/>
            <w:vAlign w:val="center"/>
          </w:tcPr>
          <w:p w:rsidR="00B4357A" w:rsidRPr="00594B88" w:rsidRDefault="00B4357A" w:rsidP="00B4357A">
            <w:pPr>
              <w:snapToGrid w:val="0"/>
              <w:jc w:val="both"/>
              <w:rPr>
                <w:rFonts w:ascii="Times New Roman" w:hAnsi="Times New Roman" w:cs="Times New Roman"/>
                <w:sz w:val="20"/>
                <w:szCs w:val="20"/>
                <w:lang w:val="de-DE"/>
              </w:rPr>
            </w:pPr>
            <w:r w:rsidRPr="00594B88">
              <w:rPr>
                <w:rFonts w:ascii="Times New Roman" w:hAnsi="Times New Roman" w:cs="Times New Roman"/>
                <w:sz w:val="20"/>
                <w:szCs w:val="20"/>
                <w:lang w:val="de-DE"/>
              </w:rPr>
              <w:t>C18:3</w:t>
            </w:r>
            <w:r w:rsidRPr="00DB1374">
              <w:rPr>
                <w:rFonts w:ascii="Times New Roman" w:hAnsi="Times New Roman" w:cs="Times New Roman"/>
                <w:sz w:val="20"/>
                <w:szCs w:val="20"/>
              </w:rPr>
              <w:t>Δ</w:t>
            </w:r>
            <w:r w:rsidRPr="00594B88">
              <w:rPr>
                <w:rFonts w:ascii="Times New Roman" w:hAnsi="Times New Roman" w:cs="Times New Roman"/>
                <w:sz w:val="20"/>
                <w:szCs w:val="20"/>
                <w:vertAlign w:val="superscript"/>
                <w:lang w:val="de-DE"/>
              </w:rPr>
              <w:t>9c,12c,15c</w:t>
            </w:r>
            <w:r w:rsidRPr="00594B88">
              <w:rPr>
                <w:rFonts w:ascii="Times New Roman" w:hAnsi="Times New Roman" w:cs="Times New Roman"/>
                <w:sz w:val="20"/>
                <w:szCs w:val="20"/>
                <w:lang w:val="de-DE"/>
              </w:rPr>
              <w:t xml:space="preserve"> </w:t>
            </w:r>
            <w:r w:rsidRPr="00594B88">
              <w:rPr>
                <w:rFonts w:ascii="Times New Roman" w:hAnsi="Times New Roman" w:cs="Times New Roman"/>
                <w:sz w:val="16"/>
                <w:szCs w:val="20"/>
                <w:lang w:val="de-DE"/>
              </w:rPr>
              <w:t>[</w:t>
            </w:r>
            <w:r w:rsidRPr="00DB1374">
              <w:rPr>
                <w:rFonts w:ascii="Times New Roman" w:hAnsi="Times New Roman" w:cs="Times New Roman"/>
                <w:sz w:val="16"/>
                <w:szCs w:val="20"/>
              </w:rPr>
              <w:t>ω</w:t>
            </w:r>
            <w:r w:rsidRPr="00594B88">
              <w:rPr>
                <w:rFonts w:ascii="Times New Roman" w:hAnsi="Times New Roman" w:cs="Times New Roman"/>
                <w:sz w:val="16"/>
                <w:szCs w:val="20"/>
                <w:lang w:val="de-DE"/>
              </w:rPr>
              <w:t>3]</w:t>
            </w:r>
          </w:p>
        </w:tc>
        <w:tc>
          <w:tcPr>
            <w:tcW w:w="871" w:type="pct"/>
            <w:vAlign w:val="center"/>
          </w:tcPr>
          <w:p w:rsidR="00B4357A" w:rsidRPr="00594B88" w:rsidRDefault="00B4357A" w:rsidP="00B4357A">
            <w:pPr>
              <w:snapToGrid w:val="0"/>
              <w:jc w:val="center"/>
              <w:rPr>
                <w:rFonts w:ascii="Times New Roman" w:hAnsi="Times New Roman" w:cs="Times New Roman"/>
                <w:sz w:val="20"/>
                <w:szCs w:val="20"/>
                <w:lang w:val="de-DE"/>
              </w:rPr>
            </w:pPr>
            <w:r w:rsidRPr="00594B88">
              <w:rPr>
                <w:rFonts w:ascii="Times New Roman" w:hAnsi="Times New Roman" w:cs="Times New Roman"/>
                <w:sz w:val="20"/>
                <w:szCs w:val="20"/>
                <w:lang w:val="de-DE"/>
              </w:rPr>
              <w:t>0.4±0.0</w:t>
            </w:r>
          </w:p>
        </w:tc>
        <w:tc>
          <w:tcPr>
            <w:tcW w:w="1126" w:type="pct"/>
            <w:vAlign w:val="center"/>
          </w:tcPr>
          <w:p w:rsidR="00B4357A" w:rsidRPr="00594B88" w:rsidRDefault="00594B88" w:rsidP="00B4357A">
            <w:pPr>
              <w:snapToGrid w:val="0"/>
              <w:jc w:val="center"/>
              <w:rPr>
                <w:rFonts w:ascii="Times New Roman" w:hAnsi="Times New Roman" w:cs="Times New Roman"/>
                <w:sz w:val="20"/>
                <w:szCs w:val="20"/>
                <w:lang w:val="de-DE"/>
              </w:rPr>
            </w:pPr>
            <w:r>
              <w:rPr>
                <w:rFonts w:ascii="Times New Roman" w:hAnsi="Times New Roman" w:cs="Times New Roman"/>
                <w:sz w:val="20"/>
                <w:szCs w:val="20"/>
                <w:lang w:val="de-DE"/>
              </w:rPr>
              <w:t>0.2</w:t>
            </w:r>
            <w:r>
              <w:rPr>
                <w:rFonts w:ascii="Times New Roman" w:hAnsi="Times New Roman" w:cs="Times New Roman"/>
                <w:sz w:val="20"/>
                <w:szCs w:val="20"/>
              </w:rPr>
              <w:t>±0.1</w:t>
            </w:r>
          </w:p>
        </w:tc>
        <w:tc>
          <w:tcPr>
            <w:tcW w:w="1485" w:type="pct"/>
            <w:vAlign w:val="center"/>
          </w:tcPr>
          <w:p w:rsidR="00B4357A" w:rsidRPr="00594B88" w:rsidRDefault="00594B88" w:rsidP="00B4357A">
            <w:pPr>
              <w:snapToGrid w:val="0"/>
              <w:jc w:val="center"/>
              <w:rPr>
                <w:rFonts w:ascii="Times New Roman" w:hAnsi="Times New Roman" w:cs="Times New Roman"/>
                <w:sz w:val="20"/>
                <w:szCs w:val="20"/>
                <w:lang w:val="de-DE"/>
              </w:rPr>
            </w:pPr>
            <w:r>
              <w:rPr>
                <w:rFonts w:ascii="Times New Roman" w:hAnsi="Times New Roman" w:cs="Times New Roman"/>
                <w:sz w:val="20"/>
                <w:szCs w:val="20"/>
                <w:lang w:val="de-DE"/>
              </w:rPr>
              <w:t>0.1</w:t>
            </w:r>
            <w:r w:rsidRPr="00594B88">
              <w:rPr>
                <w:rFonts w:ascii="Times New Roman" w:hAnsi="Times New Roman" w:cs="Times New Roman"/>
                <w:sz w:val="20"/>
                <w:szCs w:val="20"/>
                <w:lang w:val="de-DE"/>
              </w:rPr>
              <w:t>±0.1</w:t>
            </w:r>
          </w:p>
        </w:tc>
      </w:tr>
      <w:tr w:rsidR="00B4357A" w:rsidRPr="00594B88" w:rsidTr="00B4357A">
        <w:trPr>
          <w:trHeight w:val="170"/>
          <w:jc w:val="center"/>
        </w:trPr>
        <w:tc>
          <w:tcPr>
            <w:tcW w:w="1518" w:type="pct"/>
            <w:vAlign w:val="center"/>
          </w:tcPr>
          <w:p w:rsidR="00B4357A" w:rsidRPr="00594B88" w:rsidRDefault="00B4357A" w:rsidP="00B4357A">
            <w:pPr>
              <w:snapToGrid w:val="0"/>
              <w:jc w:val="both"/>
              <w:rPr>
                <w:rFonts w:ascii="Times New Roman" w:hAnsi="Times New Roman" w:cs="Times New Roman"/>
                <w:sz w:val="20"/>
                <w:szCs w:val="20"/>
                <w:lang w:val="de-DE"/>
              </w:rPr>
            </w:pPr>
            <w:r w:rsidRPr="00594B88">
              <w:rPr>
                <w:rFonts w:ascii="Times New Roman" w:hAnsi="Times New Roman"/>
                <w:sz w:val="20"/>
                <w:szCs w:val="20"/>
                <w:lang w:val="de-DE"/>
              </w:rPr>
              <w:t>C18:2</w:t>
            </w:r>
            <w:r w:rsidRPr="00DB1374">
              <w:rPr>
                <w:rFonts w:ascii="Symbol" w:hAnsi="Symbol" w:cs="Times New Roman"/>
                <w:sz w:val="20"/>
                <w:szCs w:val="20"/>
                <w:lang w:val="en-US"/>
              </w:rPr>
              <w:t></w:t>
            </w:r>
            <w:r w:rsidRPr="00594B88">
              <w:rPr>
                <w:rFonts w:ascii="Times New Roman" w:hAnsi="Times New Roman"/>
                <w:sz w:val="20"/>
                <w:szCs w:val="20"/>
                <w:vertAlign w:val="superscript"/>
                <w:lang w:val="de-DE"/>
              </w:rPr>
              <w:t>9c,11 t</w:t>
            </w:r>
            <w:r w:rsidRPr="00594B88">
              <w:rPr>
                <w:rFonts w:ascii="Times New Roman" w:hAnsi="Times New Roman"/>
                <w:sz w:val="20"/>
                <w:szCs w:val="20"/>
                <w:lang w:val="de-DE"/>
              </w:rPr>
              <w:t xml:space="preserve"> [CLA]</w:t>
            </w:r>
          </w:p>
        </w:tc>
        <w:tc>
          <w:tcPr>
            <w:tcW w:w="871" w:type="pct"/>
            <w:vAlign w:val="center"/>
          </w:tcPr>
          <w:p w:rsidR="00B4357A" w:rsidRPr="00594B88" w:rsidRDefault="00B4357A" w:rsidP="00B4357A">
            <w:pPr>
              <w:snapToGrid w:val="0"/>
              <w:jc w:val="center"/>
              <w:rPr>
                <w:rFonts w:ascii="Times New Roman" w:hAnsi="Times New Roman" w:cs="Times New Roman"/>
                <w:sz w:val="20"/>
                <w:szCs w:val="20"/>
                <w:lang w:val="de-DE"/>
              </w:rPr>
            </w:pPr>
            <w:r w:rsidRPr="00594B88">
              <w:rPr>
                <w:rFonts w:ascii="Times New Roman" w:hAnsi="Times New Roman" w:cs="Times New Roman"/>
                <w:sz w:val="20"/>
                <w:szCs w:val="20"/>
                <w:lang w:val="de-DE"/>
              </w:rPr>
              <w:t>0.1±0.0</w:t>
            </w:r>
          </w:p>
        </w:tc>
        <w:tc>
          <w:tcPr>
            <w:tcW w:w="1126" w:type="pct"/>
            <w:vAlign w:val="center"/>
          </w:tcPr>
          <w:p w:rsidR="00B4357A" w:rsidRPr="00594B88" w:rsidRDefault="00B4357A" w:rsidP="00B4357A">
            <w:pPr>
              <w:snapToGrid w:val="0"/>
              <w:jc w:val="center"/>
              <w:rPr>
                <w:rFonts w:ascii="Times New Roman" w:hAnsi="Times New Roman" w:cs="Times New Roman"/>
                <w:sz w:val="20"/>
                <w:szCs w:val="20"/>
                <w:lang w:val="de-DE"/>
              </w:rPr>
            </w:pPr>
            <w:proofErr w:type="spellStart"/>
            <w:r w:rsidRPr="00594B88">
              <w:rPr>
                <w:rFonts w:ascii="Times New Roman" w:hAnsi="Times New Roman" w:cs="Times New Roman"/>
                <w:sz w:val="20"/>
                <w:szCs w:val="20"/>
                <w:lang w:val="de-DE"/>
              </w:rPr>
              <w:t>n.d</w:t>
            </w:r>
            <w:proofErr w:type="spellEnd"/>
          </w:p>
        </w:tc>
        <w:tc>
          <w:tcPr>
            <w:tcW w:w="1485" w:type="pct"/>
            <w:vAlign w:val="center"/>
          </w:tcPr>
          <w:p w:rsidR="00B4357A" w:rsidRPr="00594B88" w:rsidRDefault="00B4357A" w:rsidP="00B4357A">
            <w:pPr>
              <w:snapToGrid w:val="0"/>
              <w:jc w:val="center"/>
              <w:rPr>
                <w:rFonts w:ascii="Times New Roman" w:hAnsi="Times New Roman" w:cs="Times New Roman"/>
                <w:sz w:val="20"/>
                <w:szCs w:val="20"/>
                <w:lang w:val="de-DE"/>
              </w:rPr>
            </w:pPr>
            <w:proofErr w:type="spellStart"/>
            <w:r w:rsidRPr="00594B88">
              <w:rPr>
                <w:rFonts w:ascii="Times New Roman" w:hAnsi="Times New Roman" w:cs="Times New Roman"/>
                <w:sz w:val="20"/>
                <w:szCs w:val="20"/>
                <w:lang w:val="de-DE"/>
              </w:rPr>
              <w:t>n.d</w:t>
            </w:r>
            <w:proofErr w:type="spellEnd"/>
          </w:p>
        </w:tc>
      </w:tr>
      <w:tr w:rsidR="00B4357A" w:rsidRPr="00594B88" w:rsidTr="00B4357A">
        <w:trPr>
          <w:trHeight w:val="170"/>
          <w:jc w:val="center"/>
        </w:trPr>
        <w:tc>
          <w:tcPr>
            <w:tcW w:w="1518" w:type="pct"/>
            <w:vAlign w:val="center"/>
          </w:tcPr>
          <w:p w:rsidR="00B4357A" w:rsidRPr="00594B88" w:rsidRDefault="00B4357A" w:rsidP="00B4357A">
            <w:pPr>
              <w:snapToGrid w:val="0"/>
              <w:jc w:val="both"/>
              <w:rPr>
                <w:rFonts w:ascii="Times New Roman" w:hAnsi="Times New Roman" w:cs="Times New Roman"/>
                <w:sz w:val="20"/>
                <w:szCs w:val="20"/>
                <w:lang w:val="de-DE"/>
              </w:rPr>
            </w:pPr>
            <w:r w:rsidRPr="00594B88">
              <w:rPr>
                <w:rFonts w:ascii="Times New Roman" w:eastAsia="Times New Roman" w:hAnsi="Times New Roman" w:cs="Times New Roman"/>
                <w:sz w:val="20"/>
                <w:szCs w:val="16"/>
                <w:lang w:val="de-DE" w:eastAsia="it-IT"/>
              </w:rPr>
              <w:t>C20:2</w:t>
            </w:r>
            <w:r w:rsidRPr="00DB1374">
              <w:rPr>
                <w:rFonts w:ascii="Times New Roman" w:eastAsia="Times New Roman" w:hAnsi="Times New Roman" w:cs="Times New Roman"/>
                <w:sz w:val="20"/>
                <w:szCs w:val="16"/>
                <w:lang w:eastAsia="it-IT"/>
              </w:rPr>
              <w:t>Δ</w:t>
            </w:r>
            <w:r w:rsidRPr="00594B88">
              <w:rPr>
                <w:rFonts w:ascii="Times New Roman" w:eastAsia="Times New Roman" w:hAnsi="Times New Roman" w:cs="Times New Roman"/>
                <w:sz w:val="20"/>
                <w:szCs w:val="16"/>
                <w:vertAlign w:val="superscript"/>
                <w:lang w:val="de-DE" w:eastAsia="it-IT"/>
              </w:rPr>
              <w:t xml:space="preserve">11,14 </w:t>
            </w:r>
            <w:r w:rsidRPr="00594B88">
              <w:rPr>
                <w:rFonts w:ascii="Times New Roman" w:eastAsia="Times New Roman" w:hAnsi="Times New Roman" w:cs="Times New Roman"/>
                <w:sz w:val="16"/>
                <w:szCs w:val="16"/>
                <w:lang w:val="de-DE" w:eastAsia="it-IT"/>
              </w:rPr>
              <w:t>[</w:t>
            </w:r>
            <w:r w:rsidRPr="00DB1374">
              <w:rPr>
                <w:rFonts w:ascii="Times New Roman" w:eastAsia="Times New Roman" w:hAnsi="Times New Roman" w:cs="Times New Roman"/>
                <w:sz w:val="16"/>
                <w:szCs w:val="16"/>
                <w:lang w:eastAsia="it-IT"/>
              </w:rPr>
              <w:t>ω</w:t>
            </w:r>
            <w:r w:rsidRPr="00594B88">
              <w:rPr>
                <w:rFonts w:ascii="Times New Roman" w:eastAsia="Times New Roman" w:hAnsi="Times New Roman" w:cs="Times New Roman"/>
                <w:sz w:val="16"/>
                <w:szCs w:val="16"/>
                <w:lang w:val="de-DE" w:eastAsia="it-IT"/>
              </w:rPr>
              <w:t>6]</w:t>
            </w:r>
          </w:p>
        </w:tc>
        <w:tc>
          <w:tcPr>
            <w:tcW w:w="871" w:type="pct"/>
            <w:vAlign w:val="center"/>
          </w:tcPr>
          <w:p w:rsidR="00B4357A" w:rsidRPr="00594B88" w:rsidRDefault="00B4357A" w:rsidP="00B4357A">
            <w:pPr>
              <w:snapToGrid w:val="0"/>
              <w:jc w:val="center"/>
              <w:rPr>
                <w:rFonts w:ascii="Times New Roman" w:hAnsi="Times New Roman" w:cs="Times New Roman"/>
                <w:sz w:val="20"/>
                <w:szCs w:val="20"/>
                <w:lang w:val="de-DE"/>
              </w:rPr>
            </w:pPr>
            <w:r w:rsidRPr="00594B88">
              <w:rPr>
                <w:rFonts w:ascii="Times New Roman" w:hAnsi="Times New Roman" w:cs="Times New Roman"/>
                <w:sz w:val="20"/>
                <w:szCs w:val="20"/>
                <w:lang w:val="de-DE"/>
              </w:rPr>
              <w:t>0.5±0.0</w:t>
            </w:r>
          </w:p>
        </w:tc>
        <w:tc>
          <w:tcPr>
            <w:tcW w:w="1126" w:type="pct"/>
            <w:vAlign w:val="center"/>
          </w:tcPr>
          <w:p w:rsidR="00B4357A" w:rsidRPr="00594B88" w:rsidRDefault="00B4357A" w:rsidP="00B4357A">
            <w:pPr>
              <w:snapToGrid w:val="0"/>
              <w:jc w:val="center"/>
              <w:rPr>
                <w:rFonts w:ascii="Times New Roman" w:hAnsi="Times New Roman" w:cs="Times New Roman"/>
                <w:sz w:val="20"/>
                <w:szCs w:val="20"/>
                <w:lang w:val="de-DE"/>
              </w:rPr>
            </w:pPr>
            <w:proofErr w:type="spellStart"/>
            <w:r w:rsidRPr="00594B88">
              <w:rPr>
                <w:rFonts w:ascii="Times New Roman" w:hAnsi="Times New Roman" w:cs="Times New Roman"/>
                <w:sz w:val="20"/>
                <w:szCs w:val="20"/>
                <w:lang w:val="de-DE"/>
              </w:rPr>
              <w:t>n.d</w:t>
            </w:r>
            <w:proofErr w:type="spellEnd"/>
          </w:p>
        </w:tc>
        <w:tc>
          <w:tcPr>
            <w:tcW w:w="1485" w:type="pct"/>
            <w:vAlign w:val="center"/>
          </w:tcPr>
          <w:p w:rsidR="00B4357A" w:rsidRPr="00594B88" w:rsidRDefault="00B4357A" w:rsidP="00B4357A">
            <w:pPr>
              <w:snapToGrid w:val="0"/>
              <w:jc w:val="center"/>
              <w:rPr>
                <w:rFonts w:ascii="Times New Roman" w:hAnsi="Times New Roman" w:cs="Times New Roman"/>
                <w:sz w:val="20"/>
                <w:szCs w:val="20"/>
                <w:lang w:val="de-DE"/>
              </w:rPr>
            </w:pPr>
            <w:proofErr w:type="spellStart"/>
            <w:r w:rsidRPr="00594B88">
              <w:rPr>
                <w:rFonts w:ascii="Times New Roman" w:hAnsi="Times New Roman" w:cs="Times New Roman"/>
                <w:sz w:val="20"/>
                <w:szCs w:val="20"/>
                <w:lang w:val="de-DE"/>
              </w:rPr>
              <w:t>n.d</w:t>
            </w:r>
            <w:proofErr w:type="spellEnd"/>
          </w:p>
        </w:tc>
      </w:tr>
      <w:tr w:rsidR="00B4357A" w:rsidRPr="00594B88" w:rsidTr="00B4357A">
        <w:trPr>
          <w:trHeight w:val="170"/>
          <w:jc w:val="center"/>
        </w:trPr>
        <w:tc>
          <w:tcPr>
            <w:tcW w:w="1518" w:type="pct"/>
            <w:vAlign w:val="center"/>
          </w:tcPr>
          <w:p w:rsidR="00B4357A" w:rsidRPr="00594B88" w:rsidRDefault="00B4357A" w:rsidP="00B4357A">
            <w:pPr>
              <w:snapToGrid w:val="0"/>
              <w:jc w:val="both"/>
              <w:rPr>
                <w:rFonts w:ascii="Times New Roman" w:hAnsi="Times New Roman" w:cs="Times New Roman"/>
                <w:sz w:val="20"/>
                <w:szCs w:val="20"/>
                <w:lang w:val="de-DE"/>
              </w:rPr>
            </w:pPr>
            <w:r w:rsidRPr="00594B88">
              <w:rPr>
                <w:rFonts w:ascii="Times New Roman" w:hAnsi="Times New Roman" w:cs="Times New Roman"/>
                <w:sz w:val="20"/>
                <w:szCs w:val="20"/>
                <w:lang w:val="de-DE"/>
              </w:rPr>
              <w:t>C20:3</w:t>
            </w:r>
            <w:r w:rsidRPr="00DB1374">
              <w:rPr>
                <w:rFonts w:ascii="Times New Roman" w:eastAsia="Times New Roman" w:hAnsi="Times New Roman" w:cs="Times New Roman"/>
                <w:sz w:val="20"/>
                <w:szCs w:val="16"/>
                <w:lang w:eastAsia="it-IT"/>
              </w:rPr>
              <w:t>Δ</w:t>
            </w:r>
            <w:r w:rsidRPr="00594B88">
              <w:rPr>
                <w:rFonts w:ascii="Times New Roman" w:eastAsia="Times New Roman" w:hAnsi="Times New Roman" w:cs="Times New Roman"/>
                <w:sz w:val="20"/>
                <w:szCs w:val="16"/>
                <w:vertAlign w:val="superscript"/>
                <w:lang w:val="de-DE" w:eastAsia="it-IT"/>
              </w:rPr>
              <w:t>8c,11c,14c</w:t>
            </w:r>
            <w:r w:rsidRPr="00594B88">
              <w:rPr>
                <w:rFonts w:ascii="Times New Roman" w:eastAsia="Times New Roman" w:hAnsi="Times New Roman" w:cs="Times New Roman"/>
                <w:sz w:val="20"/>
                <w:szCs w:val="16"/>
                <w:lang w:val="de-DE" w:eastAsia="it-IT"/>
              </w:rPr>
              <w:t xml:space="preserve"> </w:t>
            </w:r>
            <w:r w:rsidRPr="00594B88">
              <w:rPr>
                <w:rFonts w:ascii="Times New Roman" w:eastAsia="Times New Roman" w:hAnsi="Times New Roman" w:cs="Times New Roman"/>
                <w:sz w:val="16"/>
                <w:szCs w:val="16"/>
                <w:lang w:val="de-DE" w:eastAsia="it-IT"/>
              </w:rPr>
              <w:t>[</w:t>
            </w:r>
            <w:r w:rsidRPr="00DB1374">
              <w:rPr>
                <w:rFonts w:ascii="Times New Roman" w:hAnsi="Times New Roman" w:cs="Times New Roman"/>
                <w:sz w:val="16"/>
                <w:szCs w:val="20"/>
              </w:rPr>
              <w:t>ω</w:t>
            </w:r>
            <w:r w:rsidRPr="00594B88">
              <w:rPr>
                <w:rFonts w:ascii="Times New Roman" w:hAnsi="Times New Roman" w:cs="Times New Roman"/>
                <w:sz w:val="16"/>
                <w:szCs w:val="20"/>
                <w:lang w:val="de-DE"/>
              </w:rPr>
              <w:t>6]</w:t>
            </w:r>
          </w:p>
        </w:tc>
        <w:tc>
          <w:tcPr>
            <w:tcW w:w="871" w:type="pct"/>
            <w:vAlign w:val="center"/>
          </w:tcPr>
          <w:p w:rsidR="00B4357A" w:rsidRPr="00594B88" w:rsidRDefault="00B4357A" w:rsidP="00B4357A">
            <w:pPr>
              <w:snapToGrid w:val="0"/>
              <w:jc w:val="center"/>
              <w:rPr>
                <w:rFonts w:ascii="Times New Roman" w:hAnsi="Times New Roman" w:cs="Times New Roman"/>
                <w:sz w:val="20"/>
                <w:szCs w:val="20"/>
                <w:lang w:val="de-DE"/>
              </w:rPr>
            </w:pPr>
            <w:r w:rsidRPr="00594B88">
              <w:rPr>
                <w:rFonts w:ascii="Times New Roman" w:hAnsi="Times New Roman" w:cs="Times New Roman"/>
                <w:sz w:val="20"/>
                <w:szCs w:val="20"/>
                <w:lang w:val="de-DE"/>
              </w:rPr>
              <w:t>0.1±0.0</w:t>
            </w:r>
          </w:p>
        </w:tc>
        <w:tc>
          <w:tcPr>
            <w:tcW w:w="1126" w:type="pct"/>
            <w:vAlign w:val="center"/>
          </w:tcPr>
          <w:p w:rsidR="00B4357A" w:rsidRPr="00594B88" w:rsidRDefault="00B4357A" w:rsidP="00B4357A">
            <w:pPr>
              <w:snapToGrid w:val="0"/>
              <w:jc w:val="center"/>
              <w:rPr>
                <w:rFonts w:ascii="Times New Roman" w:hAnsi="Times New Roman" w:cs="Times New Roman"/>
                <w:sz w:val="20"/>
                <w:szCs w:val="20"/>
                <w:lang w:val="de-DE"/>
              </w:rPr>
            </w:pPr>
            <w:r w:rsidRPr="00594B88">
              <w:rPr>
                <w:rFonts w:ascii="Times New Roman" w:hAnsi="Times New Roman" w:cs="Times New Roman"/>
                <w:sz w:val="20"/>
                <w:szCs w:val="20"/>
                <w:lang w:val="de-DE"/>
              </w:rPr>
              <w:t>2.3</w:t>
            </w:r>
            <w:r w:rsidR="00594B88">
              <w:rPr>
                <w:rFonts w:ascii="Times New Roman" w:hAnsi="Times New Roman" w:cs="Times New Roman"/>
                <w:sz w:val="20"/>
                <w:szCs w:val="20"/>
                <w:lang w:val="de-DE"/>
              </w:rPr>
              <w:t>±0.4</w:t>
            </w:r>
          </w:p>
        </w:tc>
        <w:tc>
          <w:tcPr>
            <w:tcW w:w="1485" w:type="pct"/>
            <w:vAlign w:val="center"/>
          </w:tcPr>
          <w:p w:rsidR="00B4357A" w:rsidRPr="00594B88" w:rsidRDefault="00B4357A" w:rsidP="00B4357A">
            <w:pPr>
              <w:snapToGrid w:val="0"/>
              <w:jc w:val="center"/>
              <w:rPr>
                <w:rFonts w:ascii="Times New Roman" w:hAnsi="Times New Roman" w:cs="Times New Roman"/>
                <w:sz w:val="20"/>
                <w:szCs w:val="20"/>
                <w:lang w:val="de-DE"/>
              </w:rPr>
            </w:pPr>
            <w:r w:rsidRPr="00594B88">
              <w:rPr>
                <w:rFonts w:ascii="Times New Roman" w:hAnsi="Times New Roman" w:cs="Times New Roman"/>
                <w:sz w:val="20"/>
                <w:szCs w:val="20"/>
                <w:lang w:val="de-DE"/>
              </w:rPr>
              <w:t>2.0</w:t>
            </w:r>
            <w:r w:rsidR="00594B88">
              <w:rPr>
                <w:rFonts w:ascii="Times New Roman" w:hAnsi="Times New Roman" w:cs="Times New Roman"/>
                <w:sz w:val="20"/>
                <w:szCs w:val="20"/>
                <w:lang w:val="de-DE"/>
              </w:rPr>
              <w:t>±0.3</w:t>
            </w:r>
          </w:p>
        </w:tc>
      </w:tr>
      <w:tr w:rsidR="00B4357A" w:rsidRPr="003F1C23" w:rsidTr="00B4357A">
        <w:trPr>
          <w:trHeight w:val="170"/>
          <w:jc w:val="center"/>
        </w:trPr>
        <w:tc>
          <w:tcPr>
            <w:tcW w:w="1518" w:type="pct"/>
            <w:vAlign w:val="center"/>
          </w:tcPr>
          <w:p w:rsidR="00B4357A" w:rsidRPr="00A03425" w:rsidRDefault="00B4357A" w:rsidP="00B4357A">
            <w:pPr>
              <w:snapToGrid w:val="0"/>
              <w:jc w:val="both"/>
              <w:rPr>
                <w:rFonts w:ascii="Times New Roman" w:hAnsi="Times New Roman" w:cs="Times New Roman"/>
                <w:sz w:val="20"/>
                <w:szCs w:val="20"/>
              </w:rPr>
            </w:pPr>
            <w:r w:rsidRPr="00594B88">
              <w:rPr>
                <w:rFonts w:ascii="Times New Roman" w:eastAsia="Times New Roman" w:hAnsi="Times New Roman" w:cs="Times New Roman"/>
                <w:sz w:val="20"/>
                <w:szCs w:val="16"/>
                <w:lang w:val="de-DE" w:eastAsia="it-IT"/>
              </w:rPr>
              <w:t>C20:4</w:t>
            </w:r>
            <w:r w:rsidRPr="00DB1374">
              <w:rPr>
                <w:rFonts w:ascii="Times New Roman" w:eastAsia="Times New Roman" w:hAnsi="Times New Roman" w:cs="Times New Roman"/>
                <w:sz w:val="20"/>
                <w:szCs w:val="16"/>
                <w:lang w:eastAsia="it-IT"/>
              </w:rPr>
              <w:t>Δ</w:t>
            </w:r>
            <w:r w:rsidRPr="00594B88">
              <w:rPr>
                <w:rFonts w:ascii="Times New Roman" w:eastAsia="Times New Roman" w:hAnsi="Times New Roman" w:cs="Times New Roman"/>
                <w:sz w:val="20"/>
                <w:szCs w:val="16"/>
                <w:vertAlign w:val="superscript"/>
                <w:lang w:val="de-DE" w:eastAsia="it-IT"/>
              </w:rPr>
              <w:t>5</w:t>
            </w:r>
            <w:r w:rsidRPr="00DB1374">
              <w:rPr>
                <w:rFonts w:ascii="Times New Roman" w:eastAsia="Times New Roman" w:hAnsi="Times New Roman" w:cs="Times New Roman"/>
                <w:sz w:val="20"/>
                <w:szCs w:val="16"/>
                <w:vertAlign w:val="superscript"/>
                <w:lang w:eastAsia="it-IT"/>
              </w:rPr>
              <w:t>c,8c,11c,14c</w:t>
            </w:r>
            <w:r w:rsidRPr="00DB1374">
              <w:rPr>
                <w:rFonts w:ascii="Times New Roman" w:eastAsia="Times New Roman" w:hAnsi="Times New Roman" w:cs="Times New Roman"/>
                <w:sz w:val="20"/>
                <w:szCs w:val="16"/>
                <w:lang w:eastAsia="it-IT"/>
              </w:rPr>
              <w:t xml:space="preserve"> </w:t>
            </w:r>
            <w:r w:rsidRPr="00DB1374">
              <w:rPr>
                <w:rFonts w:ascii="Times New Roman" w:eastAsia="Times New Roman" w:hAnsi="Times New Roman" w:cs="Times New Roman"/>
                <w:sz w:val="16"/>
                <w:szCs w:val="16"/>
                <w:lang w:eastAsia="it-IT"/>
              </w:rPr>
              <w:t>[ω6]</w:t>
            </w:r>
          </w:p>
        </w:tc>
        <w:tc>
          <w:tcPr>
            <w:tcW w:w="871" w:type="pct"/>
            <w:vAlign w:val="center"/>
          </w:tcPr>
          <w:p w:rsidR="00B4357A" w:rsidRPr="004137ED" w:rsidRDefault="00B4357A" w:rsidP="00B4357A">
            <w:pPr>
              <w:snapToGrid w:val="0"/>
              <w:jc w:val="center"/>
              <w:rPr>
                <w:rFonts w:ascii="Times New Roman" w:hAnsi="Times New Roman" w:cs="Times New Roman"/>
                <w:sz w:val="20"/>
                <w:szCs w:val="20"/>
              </w:rPr>
            </w:pPr>
            <w:r w:rsidRPr="004137ED">
              <w:rPr>
                <w:rFonts w:ascii="Times New Roman" w:hAnsi="Times New Roman" w:cs="Times New Roman"/>
                <w:sz w:val="20"/>
                <w:szCs w:val="20"/>
              </w:rPr>
              <w:t>0.6</w:t>
            </w:r>
            <w:r w:rsidRPr="004137ED">
              <w:rPr>
                <w:rFonts w:ascii="Times New Roman" w:hAnsi="Times New Roman" w:cs="Times New Roman"/>
                <w:sz w:val="20"/>
                <w:szCs w:val="20"/>
                <w:lang w:val="en-US"/>
              </w:rPr>
              <w:t>±0.0</w:t>
            </w:r>
          </w:p>
        </w:tc>
        <w:tc>
          <w:tcPr>
            <w:tcW w:w="1126" w:type="pct"/>
            <w:vAlign w:val="center"/>
          </w:tcPr>
          <w:p w:rsidR="00B4357A" w:rsidRPr="003F1C23" w:rsidRDefault="003F1C23" w:rsidP="00B4357A">
            <w:pPr>
              <w:snapToGrid w:val="0"/>
              <w:jc w:val="center"/>
              <w:rPr>
                <w:rFonts w:ascii="Times New Roman" w:hAnsi="Times New Roman" w:cs="Times New Roman"/>
                <w:sz w:val="20"/>
                <w:szCs w:val="20"/>
                <w:lang w:val="en-US"/>
              </w:rPr>
            </w:pPr>
            <w:r w:rsidRPr="003F1C23">
              <w:rPr>
                <w:rFonts w:ascii="Times New Roman" w:hAnsi="Times New Roman" w:cs="Times New Roman"/>
                <w:sz w:val="20"/>
                <w:szCs w:val="20"/>
                <w:lang w:val="en-US"/>
              </w:rPr>
              <w:t>8.</w:t>
            </w:r>
            <w:r>
              <w:rPr>
                <w:rFonts w:ascii="Times New Roman" w:hAnsi="Times New Roman" w:cs="Times New Roman"/>
                <w:sz w:val="20"/>
                <w:szCs w:val="20"/>
                <w:lang w:val="en-US"/>
              </w:rPr>
              <w:t>3±0.9</w:t>
            </w:r>
          </w:p>
        </w:tc>
        <w:tc>
          <w:tcPr>
            <w:tcW w:w="1485" w:type="pct"/>
            <w:vAlign w:val="center"/>
          </w:tcPr>
          <w:p w:rsidR="00B4357A" w:rsidRPr="003F1C23" w:rsidRDefault="003F1C23" w:rsidP="00B4357A">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7.8</w:t>
            </w:r>
            <w:r w:rsidR="00B4357A" w:rsidRPr="003F1C23">
              <w:rPr>
                <w:rFonts w:ascii="Times New Roman" w:hAnsi="Times New Roman" w:cs="Times New Roman"/>
                <w:sz w:val="20"/>
                <w:szCs w:val="20"/>
                <w:lang w:val="en-US"/>
              </w:rPr>
              <w:t>±</w:t>
            </w:r>
            <w:r w:rsidR="00594B88" w:rsidRPr="003F1C23">
              <w:rPr>
                <w:rFonts w:ascii="Times New Roman" w:hAnsi="Times New Roman" w:cs="Times New Roman"/>
                <w:sz w:val="20"/>
                <w:szCs w:val="20"/>
                <w:lang w:val="en-US"/>
              </w:rPr>
              <w:t>1.4</w:t>
            </w:r>
          </w:p>
        </w:tc>
      </w:tr>
      <w:tr w:rsidR="00B4357A" w:rsidRPr="003F1C23" w:rsidTr="00B4357A">
        <w:trPr>
          <w:trHeight w:val="170"/>
          <w:jc w:val="center"/>
        </w:trPr>
        <w:tc>
          <w:tcPr>
            <w:tcW w:w="1518" w:type="pct"/>
            <w:vAlign w:val="center"/>
          </w:tcPr>
          <w:p w:rsidR="00B4357A" w:rsidRPr="003F1C23" w:rsidRDefault="00B4357A" w:rsidP="00B4357A">
            <w:pPr>
              <w:snapToGrid w:val="0"/>
              <w:jc w:val="both"/>
              <w:rPr>
                <w:rFonts w:ascii="Times New Roman" w:hAnsi="Times New Roman" w:cs="Times New Roman"/>
                <w:sz w:val="20"/>
                <w:szCs w:val="20"/>
                <w:lang w:val="en-US"/>
              </w:rPr>
            </w:pPr>
            <w:r w:rsidRPr="003F1C23">
              <w:rPr>
                <w:rFonts w:ascii="Times New Roman" w:hAnsi="Times New Roman" w:cs="Times New Roman"/>
                <w:sz w:val="20"/>
                <w:szCs w:val="20"/>
                <w:lang w:val="en-US"/>
              </w:rPr>
              <w:t>C22:4</w:t>
            </w:r>
            <w:r w:rsidRPr="00DB1374">
              <w:rPr>
                <w:rFonts w:ascii="Times New Roman" w:hAnsi="Times New Roman" w:cs="Times New Roman"/>
                <w:sz w:val="20"/>
                <w:szCs w:val="20"/>
              </w:rPr>
              <w:t>Δ</w:t>
            </w:r>
            <w:r w:rsidRPr="003F1C23">
              <w:rPr>
                <w:rFonts w:ascii="Times New Roman" w:hAnsi="Times New Roman" w:cs="Times New Roman"/>
                <w:sz w:val="20"/>
                <w:szCs w:val="20"/>
                <w:vertAlign w:val="superscript"/>
                <w:lang w:val="en-US"/>
              </w:rPr>
              <w:t>7c,10c,13c,16c</w:t>
            </w:r>
            <w:r w:rsidRPr="003F1C23">
              <w:rPr>
                <w:rFonts w:ascii="Times New Roman" w:hAnsi="Times New Roman" w:cs="Times New Roman"/>
                <w:sz w:val="20"/>
                <w:szCs w:val="20"/>
                <w:lang w:val="en-US"/>
              </w:rPr>
              <w:t xml:space="preserve"> </w:t>
            </w:r>
            <w:r w:rsidRPr="003F1C23">
              <w:rPr>
                <w:rFonts w:ascii="Times New Roman" w:hAnsi="Times New Roman" w:cs="Times New Roman"/>
                <w:sz w:val="16"/>
                <w:szCs w:val="20"/>
                <w:lang w:val="en-US"/>
              </w:rPr>
              <w:t>[</w:t>
            </w:r>
            <w:r w:rsidRPr="00DB1374">
              <w:rPr>
                <w:rFonts w:ascii="Times New Roman" w:hAnsi="Times New Roman" w:cs="Times New Roman"/>
                <w:sz w:val="16"/>
                <w:szCs w:val="20"/>
              </w:rPr>
              <w:t>ω</w:t>
            </w:r>
            <w:r w:rsidRPr="003F1C23">
              <w:rPr>
                <w:rFonts w:ascii="Times New Roman" w:hAnsi="Times New Roman" w:cs="Times New Roman"/>
                <w:sz w:val="16"/>
                <w:szCs w:val="20"/>
                <w:lang w:val="en-US"/>
              </w:rPr>
              <w:t>6]</w:t>
            </w:r>
          </w:p>
        </w:tc>
        <w:tc>
          <w:tcPr>
            <w:tcW w:w="871" w:type="pct"/>
            <w:vAlign w:val="center"/>
          </w:tcPr>
          <w:p w:rsidR="00B4357A" w:rsidRPr="003F1C23" w:rsidRDefault="00B4357A" w:rsidP="00B4357A">
            <w:pPr>
              <w:snapToGrid w:val="0"/>
              <w:jc w:val="center"/>
              <w:rPr>
                <w:rFonts w:ascii="Times New Roman" w:hAnsi="Times New Roman" w:cs="Times New Roman"/>
                <w:sz w:val="20"/>
                <w:szCs w:val="20"/>
                <w:lang w:val="en-US"/>
              </w:rPr>
            </w:pPr>
            <w:r w:rsidRPr="003F1C23">
              <w:rPr>
                <w:rFonts w:ascii="Times New Roman" w:hAnsi="Times New Roman" w:cs="Times New Roman"/>
                <w:sz w:val="20"/>
                <w:szCs w:val="20"/>
                <w:lang w:val="en-US"/>
              </w:rPr>
              <w:t>0.1±0.1</w:t>
            </w:r>
          </w:p>
        </w:tc>
        <w:tc>
          <w:tcPr>
            <w:tcW w:w="1126" w:type="pct"/>
            <w:vAlign w:val="center"/>
          </w:tcPr>
          <w:p w:rsidR="00B4357A" w:rsidRPr="003F1C23" w:rsidRDefault="00594B88" w:rsidP="00B4357A">
            <w:pPr>
              <w:snapToGrid w:val="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de-DE"/>
              </w:rPr>
              <w:t>nd</w:t>
            </w:r>
            <w:proofErr w:type="spellEnd"/>
            <w:r>
              <w:rPr>
                <w:rFonts w:ascii="Times New Roman" w:hAnsi="Times New Roman" w:cs="Times New Roman"/>
                <w:sz w:val="20"/>
                <w:szCs w:val="20"/>
                <w:lang w:val="de-DE"/>
              </w:rPr>
              <w:t xml:space="preserve"> </w:t>
            </w:r>
          </w:p>
        </w:tc>
        <w:tc>
          <w:tcPr>
            <w:tcW w:w="1485" w:type="pct"/>
            <w:vAlign w:val="center"/>
          </w:tcPr>
          <w:p w:rsidR="00B4357A" w:rsidRPr="003F1C23" w:rsidRDefault="00594B88" w:rsidP="00B4357A">
            <w:pPr>
              <w:snapToGrid w:val="0"/>
              <w:jc w:val="center"/>
              <w:rPr>
                <w:rFonts w:ascii="Times New Roman" w:hAnsi="Times New Roman" w:cs="Times New Roman"/>
                <w:sz w:val="20"/>
                <w:szCs w:val="20"/>
                <w:lang w:val="en-US"/>
              </w:rPr>
            </w:pPr>
            <w:r w:rsidRPr="003F1C23">
              <w:rPr>
                <w:rFonts w:ascii="Times New Roman" w:hAnsi="Times New Roman" w:cs="Times New Roman"/>
                <w:sz w:val="20"/>
                <w:szCs w:val="20"/>
                <w:lang w:val="en-US"/>
              </w:rPr>
              <w:t>0.6±0.2</w:t>
            </w:r>
          </w:p>
        </w:tc>
      </w:tr>
      <w:tr w:rsidR="00594B88" w:rsidRPr="003F1C23" w:rsidTr="00B4357A">
        <w:trPr>
          <w:trHeight w:val="240"/>
          <w:jc w:val="center"/>
        </w:trPr>
        <w:tc>
          <w:tcPr>
            <w:tcW w:w="1518" w:type="pct"/>
            <w:vAlign w:val="center"/>
          </w:tcPr>
          <w:p w:rsidR="00594B88" w:rsidRPr="00594B88" w:rsidRDefault="00594B88" w:rsidP="00B4357A">
            <w:pPr>
              <w:snapToGrid w:val="0"/>
              <w:jc w:val="both"/>
              <w:rPr>
                <w:rFonts w:ascii="Times New Roman" w:hAnsi="Times New Roman" w:cs="Times New Roman"/>
                <w:sz w:val="20"/>
                <w:szCs w:val="20"/>
                <w:lang w:val="de-DE"/>
              </w:rPr>
            </w:pPr>
            <w:r w:rsidRPr="00594B88">
              <w:rPr>
                <w:rFonts w:ascii="Times New Roman" w:hAnsi="Times New Roman" w:cs="Times New Roman"/>
                <w:sz w:val="20"/>
                <w:szCs w:val="20"/>
                <w:lang w:val="de-DE"/>
              </w:rPr>
              <w:t>C24:0</w:t>
            </w:r>
          </w:p>
        </w:tc>
        <w:tc>
          <w:tcPr>
            <w:tcW w:w="871" w:type="pct"/>
            <w:vAlign w:val="center"/>
          </w:tcPr>
          <w:p w:rsidR="00594B88" w:rsidRPr="003F1C23" w:rsidRDefault="003F1C23" w:rsidP="00B4357A">
            <w:pPr>
              <w:snapToGrid w:val="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de-DE"/>
              </w:rPr>
              <w:t>nd</w:t>
            </w:r>
            <w:proofErr w:type="spellEnd"/>
          </w:p>
        </w:tc>
        <w:tc>
          <w:tcPr>
            <w:tcW w:w="1126" w:type="pct"/>
            <w:vAlign w:val="center"/>
          </w:tcPr>
          <w:p w:rsidR="00594B88" w:rsidRPr="003F1C23" w:rsidRDefault="003F1C23" w:rsidP="00B4357A">
            <w:pPr>
              <w:snapToGrid w:val="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de-DE"/>
              </w:rPr>
              <w:t>nd</w:t>
            </w:r>
            <w:proofErr w:type="spellEnd"/>
          </w:p>
        </w:tc>
        <w:tc>
          <w:tcPr>
            <w:tcW w:w="1485" w:type="pct"/>
            <w:vAlign w:val="center"/>
          </w:tcPr>
          <w:p w:rsidR="00594B88" w:rsidRPr="003F1C23" w:rsidRDefault="003F1C23" w:rsidP="00B4357A">
            <w:pPr>
              <w:snapToGrid w:val="0"/>
              <w:jc w:val="center"/>
              <w:rPr>
                <w:rFonts w:ascii="Times New Roman" w:hAnsi="Times New Roman" w:cs="Times New Roman"/>
                <w:sz w:val="20"/>
                <w:szCs w:val="20"/>
                <w:lang w:val="en-US"/>
              </w:rPr>
            </w:pPr>
            <w:r w:rsidRPr="003F1C23">
              <w:rPr>
                <w:rFonts w:ascii="Times New Roman" w:hAnsi="Times New Roman" w:cs="Times New Roman"/>
                <w:sz w:val="20"/>
                <w:szCs w:val="20"/>
                <w:lang w:val="en-US"/>
              </w:rPr>
              <w:t>1.6±0.3</w:t>
            </w:r>
          </w:p>
        </w:tc>
      </w:tr>
      <w:tr w:rsidR="00594B88" w:rsidRPr="003F1C23" w:rsidTr="00B4357A">
        <w:trPr>
          <w:trHeight w:val="240"/>
          <w:jc w:val="center"/>
        </w:trPr>
        <w:tc>
          <w:tcPr>
            <w:tcW w:w="1518" w:type="pct"/>
            <w:vAlign w:val="center"/>
          </w:tcPr>
          <w:p w:rsidR="00594B88" w:rsidRPr="00594B88" w:rsidRDefault="00594B88" w:rsidP="00B4357A">
            <w:pPr>
              <w:snapToGrid w:val="0"/>
              <w:jc w:val="both"/>
              <w:rPr>
                <w:rFonts w:ascii="Times New Roman" w:hAnsi="Times New Roman" w:cs="Times New Roman"/>
                <w:sz w:val="20"/>
                <w:szCs w:val="20"/>
                <w:lang w:val="de-DE"/>
              </w:rPr>
            </w:pPr>
            <w:r>
              <w:rPr>
                <w:rFonts w:ascii="Times New Roman" w:hAnsi="Times New Roman" w:cs="Times New Roman"/>
                <w:sz w:val="20"/>
                <w:szCs w:val="20"/>
                <w:lang w:val="de-DE"/>
              </w:rPr>
              <w:t>C24:1</w:t>
            </w:r>
          </w:p>
        </w:tc>
        <w:tc>
          <w:tcPr>
            <w:tcW w:w="871" w:type="pct"/>
            <w:vAlign w:val="center"/>
          </w:tcPr>
          <w:p w:rsidR="00594B88" w:rsidRPr="003F1C23" w:rsidRDefault="003F1C23" w:rsidP="00B4357A">
            <w:pPr>
              <w:snapToGrid w:val="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de-DE"/>
              </w:rPr>
              <w:t>nd</w:t>
            </w:r>
            <w:proofErr w:type="spellEnd"/>
          </w:p>
        </w:tc>
        <w:tc>
          <w:tcPr>
            <w:tcW w:w="1126" w:type="pct"/>
            <w:vAlign w:val="center"/>
          </w:tcPr>
          <w:p w:rsidR="00594B88" w:rsidRPr="003F1C23" w:rsidRDefault="003F1C23" w:rsidP="00B4357A">
            <w:pPr>
              <w:snapToGrid w:val="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de-DE"/>
              </w:rPr>
              <w:t>nd</w:t>
            </w:r>
            <w:proofErr w:type="spellEnd"/>
          </w:p>
        </w:tc>
        <w:tc>
          <w:tcPr>
            <w:tcW w:w="1485" w:type="pct"/>
            <w:vAlign w:val="center"/>
          </w:tcPr>
          <w:p w:rsidR="00594B88" w:rsidRPr="003F1C23" w:rsidRDefault="003F1C23" w:rsidP="00B4357A">
            <w:pPr>
              <w:snapToGrid w:val="0"/>
              <w:jc w:val="center"/>
              <w:rPr>
                <w:rFonts w:ascii="Times New Roman" w:hAnsi="Times New Roman" w:cs="Times New Roman"/>
                <w:sz w:val="20"/>
                <w:szCs w:val="20"/>
                <w:lang w:val="en-US"/>
              </w:rPr>
            </w:pPr>
            <w:r w:rsidRPr="003F1C23">
              <w:rPr>
                <w:rFonts w:ascii="Times New Roman" w:hAnsi="Times New Roman" w:cs="Times New Roman"/>
                <w:sz w:val="20"/>
                <w:szCs w:val="20"/>
                <w:lang w:val="en-US"/>
              </w:rPr>
              <w:t>1.0±0.2</w:t>
            </w:r>
          </w:p>
        </w:tc>
      </w:tr>
      <w:tr w:rsidR="00B4357A" w:rsidRPr="003F1C23" w:rsidTr="00B4357A">
        <w:trPr>
          <w:trHeight w:val="240"/>
          <w:jc w:val="center"/>
        </w:trPr>
        <w:tc>
          <w:tcPr>
            <w:tcW w:w="1518" w:type="pct"/>
            <w:vAlign w:val="center"/>
          </w:tcPr>
          <w:p w:rsidR="00B4357A" w:rsidRPr="003F1C23" w:rsidRDefault="00B4357A" w:rsidP="00B4357A">
            <w:pPr>
              <w:snapToGrid w:val="0"/>
              <w:jc w:val="both"/>
              <w:rPr>
                <w:rFonts w:ascii="Times New Roman" w:hAnsi="Times New Roman" w:cs="Times New Roman"/>
                <w:b/>
                <w:sz w:val="20"/>
                <w:szCs w:val="20"/>
                <w:lang w:val="en-US"/>
              </w:rPr>
            </w:pPr>
            <w:r w:rsidRPr="00DB1374">
              <w:rPr>
                <w:rFonts w:ascii="Times New Roman" w:hAnsi="Times New Roman" w:cs="Times New Roman"/>
                <w:b/>
                <w:sz w:val="20"/>
                <w:szCs w:val="20"/>
                <w:lang w:val="de-DE"/>
              </w:rPr>
              <w:sym w:font="Symbol" w:char="F0E5"/>
            </w:r>
            <w:r w:rsidRPr="00DB1374">
              <w:rPr>
                <w:rFonts w:ascii="Times New Roman" w:hAnsi="Times New Roman" w:cs="Times New Roman"/>
                <w:b/>
                <w:sz w:val="20"/>
                <w:szCs w:val="20"/>
                <w:lang w:val="de-DE"/>
              </w:rPr>
              <w:t xml:space="preserve"> </w:t>
            </w:r>
            <w:r w:rsidRPr="003F1C23">
              <w:rPr>
                <w:rFonts w:ascii="Times New Roman" w:hAnsi="Times New Roman" w:cs="Times New Roman"/>
                <w:b/>
                <w:sz w:val="20"/>
                <w:szCs w:val="20"/>
                <w:lang w:val="en-US"/>
              </w:rPr>
              <w:t>PUFA</w:t>
            </w:r>
          </w:p>
        </w:tc>
        <w:tc>
          <w:tcPr>
            <w:tcW w:w="871" w:type="pct"/>
            <w:vAlign w:val="center"/>
          </w:tcPr>
          <w:p w:rsidR="00B4357A" w:rsidRPr="003F1C23" w:rsidRDefault="00B4357A" w:rsidP="00B4357A">
            <w:pPr>
              <w:snapToGrid w:val="0"/>
              <w:jc w:val="center"/>
              <w:rPr>
                <w:rFonts w:ascii="Times New Roman" w:hAnsi="Times New Roman" w:cs="Times New Roman"/>
                <w:sz w:val="20"/>
                <w:szCs w:val="20"/>
                <w:lang w:val="en-US"/>
              </w:rPr>
            </w:pPr>
            <w:r w:rsidRPr="003F1C23">
              <w:rPr>
                <w:rFonts w:ascii="Times New Roman" w:hAnsi="Times New Roman" w:cs="Times New Roman"/>
                <w:sz w:val="20"/>
                <w:szCs w:val="20"/>
                <w:lang w:val="en-US"/>
              </w:rPr>
              <w:t>11.8±0.8</w:t>
            </w:r>
          </w:p>
        </w:tc>
        <w:tc>
          <w:tcPr>
            <w:tcW w:w="1126" w:type="pct"/>
            <w:vAlign w:val="center"/>
          </w:tcPr>
          <w:p w:rsidR="00B4357A" w:rsidRPr="003F1C23" w:rsidRDefault="003F1C23" w:rsidP="00B4357A">
            <w:pPr>
              <w:snapToGrid w:val="0"/>
              <w:jc w:val="center"/>
              <w:rPr>
                <w:rFonts w:ascii="Times New Roman" w:hAnsi="Times New Roman" w:cs="Times New Roman"/>
                <w:sz w:val="20"/>
                <w:szCs w:val="20"/>
                <w:lang w:val="en-US"/>
              </w:rPr>
            </w:pPr>
            <w:r w:rsidRPr="003F1C23">
              <w:rPr>
                <w:rFonts w:ascii="Times New Roman" w:hAnsi="Times New Roman" w:cs="Times New Roman"/>
                <w:sz w:val="20"/>
                <w:szCs w:val="20"/>
                <w:lang w:val="en-US"/>
              </w:rPr>
              <w:t>35.1±1.9</w:t>
            </w:r>
          </w:p>
        </w:tc>
        <w:tc>
          <w:tcPr>
            <w:tcW w:w="1485" w:type="pct"/>
            <w:vAlign w:val="center"/>
          </w:tcPr>
          <w:p w:rsidR="00B4357A" w:rsidRPr="003F1C23" w:rsidRDefault="003F1C23" w:rsidP="00B4357A">
            <w:pPr>
              <w:snapToGrid w:val="0"/>
              <w:jc w:val="center"/>
              <w:rPr>
                <w:rFonts w:ascii="Times New Roman" w:hAnsi="Times New Roman" w:cs="Times New Roman"/>
                <w:sz w:val="20"/>
                <w:szCs w:val="20"/>
                <w:lang w:val="en-US"/>
              </w:rPr>
            </w:pPr>
            <w:r w:rsidRPr="003F1C23">
              <w:rPr>
                <w:rFonts w:ascii="Times New Roman" w:hAnsi="Times New Roman" w:cs="Times New Roman"/>
                <w:sz w:val="20"/>
                <w:szCs w:val="20"/>
                <w:lang w:val="en-US"/>
              </w:rPr>
              <w:t>33</w:t>
            </w:r>
            <w:r w:rsidR="00B4357A" w:rsidRPr="003F1C23">
              <w:rPr>
                <w:rFonts w:ascii="Times New Roman" w:hAnsi="Times New Roman" w:cs="Times New Roman"/>
                <w:sz w:val="20"/>
                <w:szCs w:val="20"/>
                <w:lang w:val="en-US"/>
              </w:rPr>
              <w:t>.7±1.5</w:t>
            </w:r>
          </w:p>
        </w:tc>
      </w:tr>
      <w:tr w:rsidR="00B4357A" w:rsidRPr="00A03425" w:rsidTr="00B4357A">
        <w:trPr>
          <w:trHeight w:val="240"/>
          <w:jc w:val="center"/>
        </w:trPr>
        <w:tc>
          <w:tcPr>
            <w:tcW w:w="1518" w:type="pct"/>
            <w:vAlign w:val="center"/>
          </w:tcPr>
          <w:p w:rsidR="00B4357A" w:rsidRPr="00A03425" w:rsidRDefault="00B4357A" w:rsidP="00B4357A">
            <w:pPr>
              <w:snapToGrid w:val="0"/>
              <w:jc w:val="both"/>
              <w:rPr>
                <w:rFonts w:ascii="Times New Roman" w:hAnsi="Times New Roman" w:cs="Times New Roman"/>
                <w:b/>
                <w:sz w:val="20"/>
                <w:szCs w:val="20"/>
                <w:lang w:val="de-DE"/>
              </w:rPr>
            </w:pPr>
            <w:r w:rsidRPr="00DB1374">
              <w:rPr>
                <w:rFonts w:ascii="Times New Roman" w:hAnsi="Times New Roman" w:cs="Times New Roman"/>
                <w:b/>
                <w:sz w:val="20"/>
                <w:szCs w:val="20"/>
                <w:lang w:val="de-DE"/>
              </w:rPr>
              <w:t xml:space="preserve">PUFA/SFA </w:t>
            </w:r>
          </w:p>
        </w:tc>
        <w:tc>
          <w:tcPr>
            <w:tcW w:w="871" w:type="pct"/>
            <w:vAlign w:val="center"/>
          </w:tcPr>
          <w:p w:rsidR="00B4357A" w:rsidRPr="004137ED" w:rsidRDefault="00B4357A" w:rsidP="00B4357A">
            <w:pPr>
              <w:snapToGrid w:val="0"/>
              <w:jc w:val="center"/>
              <w:rPr>
                <w:rFonts w:ascii="Times New Roman" w:hAnsi="Times New Roman" w:cs="Times New Roman"/>
                <w:sz w:val="20"/>
                <w:szCs w:val="20"/>
              </w:rPr>
            </w:pPr>
            <w:r w:rsidRPr="004137ED">
              <w:rPr>
                <w:rFonts w:ascii="Times New Roman" w:hAnsi="Times New Roman" w:cs="Times New Roman"/>
                <w:sz w:val="20"/>
                <w:szCs w:val="20"/>
              </w:rPr>
              <w:t>0.3</w:t>
            </w:r>
            <w:r w:rsidRPr="003F5848">
              <w:rPr>
                <w:rFonts w:ascii="Times New Roman" w:hAnsi="Times New Roman" w:cs="Times New Roman"/>
                <w:sz w:val="20"/>
                <w:szCs w:val="20"/>
              </w:rPr>
              <w:t>±0.0</w:t>
            </w:r>
          </w:p>
        </w:tc>
        <w:tc>
          <w:tcPr>
            <w:tcW w:w="1126" w:type="pct"/>
            <w:vAlign w:val="center"/>
          </w:tcPr>
          <w:p w:rsidR="00B4357A" w:rsidRPr="004137ED"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0.8</w:t>
            </w:r>
            <w:bookmarkStart w:id="1" w:name="_Hlk491183241"/>
            <w:r w:rsidRPr="00594B88">
              <w:rPr>
                <w:rFonts w:ascii="Times New Roman" w:hAnsi="Times New Roman" w:cs="Times New Roman"/>
                <w:sz w:val="20"/>
                <w:szCs w:val="20"/>
              </w:rPr>
              <w:t>±</w:t>
            </w:r>
            <w:bookmarkEnd w:id="1"/>
            <w:r w:rsidRPr="00594B88">
              <w:rPr>
                <w:rFonts w:ascii="Times New Roman" w:hAnsi="Times New Roman" w:cs="Times New Roman"/>
                <w:sz w:val="20"/>
                <w:szCs w:val="20"/>
              </w:rPr>
              <w:t>0.1</w:t>
            </w:r>
          </w:p>
        </w:tc>
        <w:tc>
          <w:tcPr>
            <w:tcW w:w="1485" w:type="pct"/>
            <w:vAlign w:val="center"/>
          </w:tcPr>
          <w:p w:rsidR="00B4357A" w:rsidRPr="004137ED"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0.8</w:t>
            </w:r>
            <w:r w:rsidRPr="00594B88">
              <w:rPr>
                <w:rFonts w:ascii="Times New Roman" w:hAnsi="Times New Roman" w:cs="Times New Roman"/>
                <w:sz w:val="20"/>
                <w:szCs w:val="20"/>
              </w:rPr>
              <w:t>±0.0</w:t>
            </w:r>
          </w:p>
        </w:tc>
      </w:tr>
      <w:tr w:rsidR="00B4357A" w:rsidRPr="00A03425" w:rsidTr="00B4357A">
        <w:trPr>
          <w:trHeight w:val="240"/>
          <w:jc w:val="center"/>
        </w:trPr>
        <w:tc>
          <w:tcPr>
            <w:tcW w:w="1518" w:type="pct"/>
            <w:tcBorders>
              <w:bottom w:val="single" w:sz="4" w:space="0" w:color="000000"/>
            </w:tcBorders>
            <w:vAlign w:val="center"/>
          </w:tcPr>
          <w:p w:rsidR="00B4357A" w:rsidRPr="00A03425" w:rsidRDefault="00B4357A" w:rsidP="00B4357A">
            <w:pPr>
              <w:snapToGrid w:val="0"/>
              <w:jc w:val="both"/>
              <w:rPr>
                <w:rFonts w:ascii="Times New Roman" w:hAnsi="Times New Roman" w:cs="Times New Roman"/>
                <w:b/>
                <w:sz w:val="20"/>
                <w:szCs w:val="20"/>
                <w:lang w:val="de-DE"/>
              </w:rPr>
            </w:pPr>
            <w:r w:rsidRPr="00DB1374">
              <w:rPr>
                <w:rFonts w:ascii="Times New Roman" w:hAnsi="Times New Roman" w:cs="Times New Roman"/>
                <w:b/>
                <w:sz w:val="20"/>
                <w:szCs w:val="20"/>
                <w:lang w:val="de-DE"/>
              </w:rPr>
              <w:t>PUFA</w:t>
            </w:r>
            <w:r w:rsidRPr="00DB1374">
              <w:rPr>
                <w:rFonts w:ascii="Times New Roman" w:hAnsi="Times New Roman" w:cs="Times New Roman"/>
                <w:b/>
                <w:sz w:val="20"/>
                <w:szCs w:val="20"/>
              </w:rPr>
              <w:t xml:space="preserve"> ω3/PUFA ω6</w:t>
            </w:r>
          </w:p>
        </w:tc>
        <w:tc>
          <w:tcPr>
            <w:tcW w:w="871" w:type="pct"/>
            <w:tcBorders>
              <w:bottom w:val="single" w:sz="4" w:space="0" w:color="000000"/>
            </w:tcBorders>
            <w:vAlign w:val="center"/>
          </w:tcPr>
          <w:p w:rsidR="00B4357A" w:rsidRPr="00A03425" w:rsidRDefault="00B4357A" w:rsidP="00B4357A">
            <w:pPr>
              <w:snapToGrid w:val="0"/>
              <w:jc w:val="center"/>
              <w:rPr>
                <w:rFonts w:ascii="Times New Roman" w:hAnsi="Times New Roman" w:cs="Times New Roman"/>
                <w:sz w:val="20"/>
                <w:szCs w:val="20"/>
              </w:rPr>
            </w:pPr>
            <w:r w:rsidRPr="00DB1374">
              <w:rPr>
                <w:rFonts w:ascii="Times New Roman" w:hAnsi="Times New Roman" w:cs="Times New Roman"/>
                <w:sz w:val="20"/>
                <w:szCs w:val="20"/>
              </w:rPr>
              <w:t>0.1</w:t>
            </w:r>
            <w:r w:rsidRPr="003F5848">
              <w:rPr>
                <w:rFonts w:ascii="Times New Roman" w:hAnsi="Times New Roman" w:cs="Times New Roman"/>
                <w:sz w:val="20"/>
                <w:szCs w:val="20"/>
              </w:rPr>
              <w:t>±0.0</w:t>
            </w:r>
          </w:p>
        </w:tc>
        <w:tc>
          <w:tcPr>
            <w:tcW w:w="1126" w:type="pct"/>
            <w:tcBorders>
              <w:bottom w:val="single" w:sz="4" w:space="0" w:color="000000"/>
            </w:tcBorders>
            <w:vAlign w:val="center"/>
          </w:tcPr>
          <w:p w:rsidR="00B4357A" w:rsidRPr="00DB1374"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0.2</w:t>
            </w:r>
            <w:r w:rsidRPr="003F1C23">
              <w:rPr>
                <w:rFonts w:ascii="Times New Roman" w:hAnsi="Times New Roman" w:cs="Times New Roman"/>
                <w:sz w:val="20"/>
                <w:szCs w:val="20"/>
              </w:rPr>
              <w:t>±0.1</w:t>
            </w:r>
          </w:p>
        </w:tc>
        <w:tc>
          <w:tcPr>
            <w:tcW w:w="1485" w:type="pct"/>
            <w:tcBorders>
              <w:bottom w:val="single" w:sz="4" w:space="0" w:color="000000"/>
            </w:tcBorders>
            <w:vAlign w:val="center"/>
          </w:tcPr>
          <w:p w:rsidR="00B4357A" w:rsidRPr="00DB1374" w:rsidRDefault="00B4357A" w:rsidP="00B4357A">
            <w:pPr>
              <w:snapToGrid w:val="0"/>
              <w:jc w:val="center"/>
              <w:rPr>
                <w:rFonts w:ascii="Times New Roman" w:hAnsi="Times New Roman" w:cs="Times New Roman"/>
                <w:sz w:val="20"/>
                <w:szCs w:val="20"/>
              </w:rPr>
            </w:pPr>
            <w:r>
              <w:rPr>
                <w:rFonts w:ascii="Times New Roman" w:hAnsi="Times New Roman" w:cs="Times New Roman"/>
                <w:sz w:val="20"/>
                <w:szCs w:val="20"/>
              </w:rPr>
              <w:t>0.2</w:t>
            </w:r>
            <w:r w:rsidRPr="003F1C23">
              <w:rPr>
                <w:rFonts w:ascii="Times New Roman" w:hAnsi="Times New Roman" w:cs="Times New Roman"/>
                <w:sz w:val="20"/>
                <w:szCs w:val="20"/>
              </w:rPr>
              <w:t>±0.1</w:t>
            </w:r>
          </w:p>
        </w:tc>
      </w:tr>
    </w:tbl>
    <w:p w:rsidR="008F2958" w:rsidRDefault="007239BC" w:rsidP="00B4357A">
      <w:pPr>
        <w:pStyle w:val="Didascalia1"/>
        <w:keepNext/>
        <w:spacing w:after="0"/>
        <w:jc w:val="both"/>
        <w:rPr>
          <w:rFonts w:ascii="Times New Roman" w:hAnsi="Times New Roman" w:cs="Times New Roman"/>
          <w:b w:val="0"/>
          <w:color w:val="000000"/>
          <w:sz w:val="20"/>
          <w:szCs w:val="20"/>
          <w:lang w:val="en-US"/>
        </w:rPr>
      </w:pPr>
      <w:r w:rsidRPr="00B979C7">
        <w:rPr>
          <w:rFonts w:ascii="Times New Roman" w:hAnsi="Times New Roman" w:cs="Times New Roman"/>
          <w:b w:val="0"/>
          <w:color w:val="000000"/>
          <w:sz w:val="20"/>
          <w:szCs w:val="20"/>
          <w:lang w:val="en-US"/>
        </w:rPr>
        <w:t>*</w:t>
      </w:r>
      <w:r w:rsidR="00672367" w:rsidRPr="00B979C7">
        <w:rPr>
          <w:rFonts w:ascii="Times New Roman" w:hAnsi="Times New Roman" w:cs="Times New Roman"/>
          <w:b w:val="0"/>
          <w:color w:val="000000"/>
          <w:sz w:val="20"/>
          <w:szCs w:val="20"/>
          <w:lang w:val="en-US"/>
        </w:rPr>
        <w:t>F</w:t>
      </w:r>
      <w:r w:rsidR="008F2958" w:rsidRPr="00B979C7">
        <w:rPr>
          <w:rFonts w:ascii="Times New Roman" w:hAnsi="Times New Roman" w:cs="Times New Roman"/>
          <w:b w:val="0"/>
          <w:color w:val="000000"/>
          <w:sz w:val="20"/>
          <w:szCs w:val="20"/>
          <w:lang w:val="en-US"/>
        </w:rPr>
        <w:t>atty acid com</w:t>
      </w:r>
      <w:r w:rsidR="008F2958" w:rsidRPr="00DB1374">
        <w:rPr>
          <w:rFonts w:ascii="Times New Roman" w:hAnsi="Times New Roman" w:cs="Times New Roman"/>
          <w:b w:val="0"/>
          <w:color w:val="000000"/>
          <w:sz w:val="20"/>
          <w:szCs w:val="20"/>
          <w:lang w:val="en-US"/>
        </w:rPr>
        <w:t xml:space="preserve">position </w:t>
      </w:r>
      <w:r w:rsidRPr="00DB1374">
        <w:rPr>
          <w:rFonts w:ascii="Times New Roman" w:hAnsi="Times New Roman" w:cs="Times New Roman"/>
          <w:b w:val="0"/>
          <w:color w:val="000000"/>
          <w:sz w:val="20"/>
          <w:szCs w:val="20"/>
          <w:lang w:val="en-US"/>
        </w:rPr>
        <w:t xml:space="preserve">of pork </w:t>
      </w:r>
      <w:r>
        <w:rPr>
          <w:rFonts w:ascii="Times New Roman" w:hAnsi="Times New Roman" w:cs="Times New Roman"/>
          <w:b w:val="0"/>
          <w:color w:val="000000"/>
          <w:sz w:val="20"/>
          <w:szCs w:val="20"/>
          <w:lang w:val="en-US"/>
        </w:rPr>
        <w:t>meat (</w:t>
      </w:r>
      <w:r w:rsidRPr="00DB1374">
        <w:rPr>
          <w:rFonts w:ascii="Times New Roman" w:hAnsi="Times New Roman" w:cs="Times New Roman"/>
          <w:b w:val="0"/>
          <w:color w:val="000000"/>
          <w:sz w:val="20"/>
          <w:szCs w:val="20"/>
          <w:lang w:val="en-US"/>
        </w:rPr>
        <w:t>loins</w:t>
      </w:r>
      <w:r>
        <w:rPr>
          <w:rFonts w:ascii="Times New Roman" w:hAnsi="Times New Roman" w:cs="Times New Roman"/>
          <w:b w:val="0"/>
          <w:color w:val="000000"/>
          <w:sz w:val="20"/>
          <w:szCs w:val="20"/>
          <w:lang w:val="en-US"/>
        </w:rPr>
        <w:t xml:space="preserve"> of </w:t>
      </w:r>
      <w:r w:rsidRPr="00DB1374">
        <w:rPr>
          <w:rFonts w:ascii="Times New Roman" w:hAnsi="Times New Roman" w:cs="Times New Roman"/>
          <w:b w:val="0"/>
          <w:i/>
          <w:color w:val="000000"/>
          <w:sz w:val="20"/>
          <w:szCs w:val="20"/>
          <w:lang w:val="en-US"/>
        </w:rPr>
        <w:t xml:space="preserve">Longissimus lumborum </w:t>
      </w:r>
      <w:r w:rsidRPr="00DB1374">
        <w:rPr>
          <w:rFonts w:ascii="Times New Roman" w:hAnsi="Times New Roman" w:cs="Times New Roman"/>
          <w:b w:val="0"/>
          <w:color w:val="000000"/>
          <w:sz w:val="20"/>
          <w:szCs w:val="20"/>
          <w:lang w:val="en-US"/>
        </w:rPr>
        <w:t>muscle)</w:t>
      </w:r>
      <w:r>
        <w:rPr>
          <w:rFonts w:ascii="Times New Roman" w:hAnsi="Times New Roman" w:cs="Times New Roman"/>
          <w:b w:val="0"/>
          <w:color w:val="000000"/>
          <w:sz w:val="20"/>
          <w:szCs w:val="20"/>
          <w:lang w:val="en-US"/>
        </w:rPr>
        <w:t xml:space="preserve"> </w:t>
      </w:r>
      <w:r w:rsidR="003F5848">
        <w:rPr>
          <w:rFonts w:ascii="Times New Roman" w:hAnsi="Times New Roman" w:cs="Times New Roman"/>
          <w:b w:val="0"/>
          <w:color w:val="000000"/>
          <w:sz w:val="20"/>
          <w:szCs w:val="20"/>
          <w:lang w:val="en-US"/>
        </w:rPr>
        <w:t>represent weight % of total fatty acids</w:t>
      </w:r>
      <w:r>
        <w:rPr>
          <w:rFonts w:ascii="Times New Roman" w:hAnsi="Times New Roman" w:cs="Times New Roman"/>
          <w:b w:val="0"/>
          <w:color w:val="000000"/>
          <w:sz w:val="20"/>
          <w:szCs w:val="20"/>
          <w:lang w:val="en-US"/>
        </w:rPr>
        <w:t xml:space="preserve"> from 4 independent samples. F</w:t>
      </w:r>
      <w:r w:rsidR="003F5848">
        <w:rPr>
          <w:rFonts w:ascii="Times New Roman" w:hAnsi="Times New Roman" w:cs="Times New Roman"/>
          <w:b w:val="0"/>
          <w:color w:val="000000"/>
          <w:sz w:val="20"/>
          <w:szCs w:val="20"/>
          <w:lang w:val="en-US"/>
        </w:rPr>
        <w:t>asting</w:t>
      </w:r>
      <w:r>
        <w:rPr>
          <w:rFonts w:ascii="Times New Roman" w:hAnsi="Times New Roman" w:cs="Times New Roman"/>
          <w:b w:val="0"/>
          <w:color w:val="000000"/>
          <w:sz w:val="20"/>
          <w:szCs w:val="20"/>
          <w:lang w:val="en-US"/>
        </w:rPr>
        <w:t xml:space="preserve"> serum</w:t>
      </w:r>
      <w:r w:rsidR="00672367">
        <w:rPr>
          <w:rFonts w:ascii="Times New Roman" w:hAnsi="Times New Roman" w:cs="Times New Roman"/>
          <w:b w:val="0"/>
          <w:color w:val="000000"/>
          <w:sz w:val="20"/>
          <w:szCs w:val="20"/>
          <w:lang w:val="en-US"/>
        </w:rPr>
        <w:t xml:space="preserve"> and postprandial serum</w:t>
      </w:r>
      <w:r>
        <w:rPr>
          <w:rFonts w:ascii="Times New Roman" w:hAnsi="Times New Roman" w:cs="Times New Roman"/>
          <w:b w:val="0"/>
          <w:color w:val="000000"/>
          <w:sz w:val="20"/>
          <w:szCs w:val="20"/>
          <w:lang w:val="en-US"/>
        </w:rPr>
        <w:t xml:space="preserve"> represent weight % of total fatty acids from 3</w:t>
      </w:r>
      <w:r w:rsidR="00672367">
        <w:rPr>
          <w:rFonts w:ascii="Times New Roman" w:hAnsi="Times New Roman" w:cs="Times New Roman"/>
          <w:b w:val="0"/>
          <w:color w:val="000000"/>
          <w:sz w:val="20"/>
          <w:szCs w:val="20"/>
          <w:lang w:val="en-US"/>
        </w:rPr>
        <w:t xml:space="preserve"> pool</w:t>
      </w:r>
      <w:r>
        <w:rPr>
          <w:rFonts w:ascii="Times New Roman" w:hAnsi="Times New Roman" w:cs="Times New Roman"/>
          <w:b w:val="0"/>
          <w:color w:val="000000"/>
          <w:sz w:val="20"/>
          <w:szCs w:val="20"/>
          <w:lang w:val="en-US"/>
        </w:rPr>
        <w:t xml:space="preserve">ed </w:t>
      </w:r>
      <w:r w:rsidR="00672367">
        <w:rPr>
          <w:rFonts w:ascii="Times New Roman" w:hAnsi="Times New Roman" w:cs="Times New Roman"/>
          <w:b w:val="0"/>
          <w:color w:val="000000"/>
          <w:sz w:val="20"/>
          <w:szCs w:val="20"/>
          <w:lang w:val="en-US"/>
        </w:rPr>
        <w:t xml:space="preserve">samples from </w:t>
      </w:r>
      <w:r>
        <w:rPr>
          <w:rFonts w:ascii="Times New Roman" w:hAnsi="Times New Roman" w:cs="Times New Roman"/>
          <w:b w:val="0"/>
          <w:color w:val="000000"/>
          <w:sz w:val="20"/>
          <w:szCs w:val="20"/>
          <w:lang w:val="en-US"/>
        </w:rPr>
        <w:t xml:space="preserve">obtained </w:t>
      </w:r>
      <w:r w:rsidR="003F5848">
        <w:rPr>
          <w:rFonts w:ascii="Times New Roman" w:hAnsi="Times New Roman" w:cs="Times New Roman"/>
          <w:b w:val="0"/>
          <w:color w:val="000000"/>
          <w:sz w:val="20"/>
          <w:szCs w:val="20"/>
          <w:lang w:val="en-US"/>
        </w:rPr>
        <w:t>young</w:t>
      </w:r>
      <w:r>
        <w:rPr>
          <w:rFonts w:ascii="Times New Roman" w:hAnsi="Times New Roman" w:cs="Times New Roman"/>
          <w:b w:val="0"/>
          <w:color w:val="000000"/>
          <w:sz w:val="20"/>
          <w:szCs w:val="20"/>
          <w:lang w:val="en-US"/>
        </w:rPr>
        <w:t xml:space="preserve"> </w:t>
      </w:r>
      <w:r w:rsidR="00672367">
        <w:rPr>
          <w:rFonts w:ascii="Times New Roman" w:hAnsi="Times New Roman" w:cs="Times New Roman"/>
          <w:b w:val="0"/>
          <w:color w:val="000000"/>
          <w:sz w:val="20"/>
          <w:szCs w:val="20"/>
          <w:lang w:val="en-US"/>
        </w:rPr>
        <w:t>volunteers</w:t>
      </w:r>
      <w:r>
        <w:rPr>
          <w:rFonts w:ascii="Times New Roman" w:hAnsi="Times New Roman" w:cs="Times New Roman"/>
          <w:b w:val="0"/>
          <w:color w:val="000000"/>
          <w:sz w:val="20"/>
          <w:szCs w:val="20"/>
          <w:lang w:val="en-US"/>
        </w:rPr>
        <w:t xml:space="preserve"> before and after the meal</w:t>
      </w:r>
      <w:r w:rsidR="008F2958">
        <w:rPr>
          <w:rFonts w:ascii="Times New Roman" w:hAnsi="Times New Roman" w:cs="Times New Roman"/>
          <w:b w:val="0"/>
          <w:color w:val="000000"/>
          <w:sz w:val="20"/>
          <w:szCs w:val="20"/>
          <w:lang w:val="en-US"/>
        </w:rPr>
        <w:t>;</w:t>
      </w:r>
      <w:r w:rsidR="00B4357A">
        <w:rPr>
          <w:rFonts w:ascii="Times New Roman" w:hAnsi="Times New Roman" w:cs="Times New Roman"/>
          <w:b w:val="0"/>
          <w:color w:val="000000"/>
          <w:sz w:val="20"/>
          <w:szCs w:val="20"/>
          <w:lang w:val="en-US"/>
        </w:rPr>
        <w:t xml:space="preserve"> </w:t>
      </w:r>
      <w:proofErr w:type="spellStart"/>
      <w:r w:rsidR="00672367">
        <w:rPr>
          <w:rFonts w:ascii="Times New Roman" w:hAnsi="Times New Roman" w:cs="Times New Roman"/>
          <w:b w:val="0"/>
          <w:color w:val="000000"/>
          <w:sz w:val="20"/>
          <w:szCs w:val="20"/>
          <w:lang w:val="en-US"/>
        </w:rPr>
        <w:t>n.d.</w:t>
      </w:r>
      <w:proofErr w:type="spellEnd"/>
      <w:r w:rsidR="00672367">
        <w:rPr>
          <w:rFonts w:ascii="Times New Roman" w:hAnsi="Times New Roman" w:cs="Times New Roman"/>
          <w:b w:val="0"/>
          <w:color w:val="000000"/>
          <w:sz w:val="20"/>
          <w:szCs w:val="20"/>
          <w:lang w:val="en-US"/>
        </w:rPr>
        <w:t xml:space="preserve"> = not detected</w:t>
      </w:r>
      <w:r w:rsidR="00B4357A">
        <w:rPr>
          <w:rFonts w:ascii="Times New Roman" w:hAnsi="Times New Roman" w:cs="Times New Roman"/>
          <w:b w:val="0"/>
          <w:color w:val="000000"/>
          <w:sz w:val="20"/>
          <w:szCs w:val="20"/>
          <w:lang w:val="en-US"/>
        </w:rPr>
        <w:t xml:space="preserve">. </w:t>
      </w:r>
      <w:r w:rsidR="0030063F">
        <w:rPr>
          <w:rFonts w:ascii="Times New Roman" w:hAnsi="Times New Roman" w:cs="Times New Roman"/>
          <w:b w:val="0"/>
          <w:color w:val="000000"/>
          <w:sz w:val="20"/>
          <w:szCs w:val="20"/>
          <w:lang w:val="en-US"/>
        </w:rPr>
        <w:t xml:space="preserve">Data are displayed as mean </w:t>
      </w:r>
      <w:r w:rsidR="0030063F" w:rsidRPr="0030063F">
        <w:rPr>
          <w:rFonts w:ascii="Times New Roman" w:hAnsi="Times New Roman" w:cs="Times New Roman"/>
          <w:b w:val="0"/>
          <w:color w:val="000000"/>
          <w:sz w:val="20"/>
          <w:szCs w:val="20"/>
          <w:lang w:val="en-US"/>
        </w:rPr>
        <w:t>± SD.</w:t>
      </w:r>
    </w:p>
    <w:p w:rsidR="00B4357A" w:rsidRPr="00B4357A" w:rsidRDefault="00B4357A" w:rsidP="00B4357A">
      <w:pPr>
        <w:rPr>
          <w:lang w:val="en-US" w:eastAsia="ar-SA"/>
        </w:rPr>
      </w:pPr>
    </w:p>
    <w:p w:rsidR="00B4357A" w:rsidRDefault="00B4357A">
      <w:pPr>
        <w:rPr>
          <w:b/>
          <w:lang w:val="en-US"/>
        </w:rPr>
      </w:pPr>
      <w:r>
        <w:rPr>
          <w:b/>
          <w:lang w:val="en-US"/>
        </w:rPr>
        <w:br w:type="page"/>
      </w:r>
    </w:p>
    <w:p w:rsidR="00620035" w:rsidRDefault="00620035">
      <w:pPr>
        <w:rPr>
          <w:lang w:val="en-US"/>
        </w:rPr>
      </w:pPr>
      <w:r w:rsidRPr="008F2958">
        <w:rPr>
          <w:b/>
          <w:lang w:val="en-US"/>
        </w:rPr>
        <w:lastRenderedPageBreak/>
        <w:t>Suppl</w:t>
      </w:r>
      <w:r w:rsidR="003F5848">
        <w:rPr>
          <w:b/>
          <w:lang w:val="en-US"/>
        </w:rPr>
        <w:t>.</w:t>
      </w:r>
      <w:r w:rsidRPr="008F2958">
        <w:rPr>
          <w:b/>
          <w:lang w:val="en-US"/>
        </w:rPr>
        <w:t xml:space="preserve"> Figure 1.</w:t>
      </w:r>
      <w:r w:rsidRPr="00620035">
        <w:rPr>
          <w:lang w:val="en-US"/>
        </w:rPr>
        <w:t xml:space="preserve"> Growth curves of HCAECs cultured in flasks after a single exposure (4</w:t>
      </w:r>
      <w:r>
        <w:rPr>
          <w:lang w:val="en-US"/>
        </w:rPr>
        <w:t>H) to various postprandial sera. No difference was reported in comparison to treatment with fasting serum and to normal culture conditions with fetal calf serum (not shown in this figure).</w:t>
      </w:r>
    </w:p>
    <w:p w:rsidR="00620035" w:rsidRPr="00620035" w:rsidRDefault="00620035">
      <w:pPr>
        <w:rPr>
          <w:lang w:val="en-US"/>
        </w:rPr>
      </w:pPr>
      <w:r w:rsidRPr="00620035">
        <w:rPr>
          <w:noProof/>
          <w:lang w:eastAsia="it-IT"/>
        </w:rPr>
        <w:drawing>
          <wp:inline distT="0" distB="0" distL="0" distR="0" wp14:anchorId="0DDB0E79" wp14:editId="16B88230">
            <wp:extent cx="6120130" cy="3945255"/>
            <wp:effectExtent l="0" t="0" r="0" b="0"/>
            <wp:docPr id="4" name="Immagine 3">
              <a:extLst xmlns:a="http://schemas.openxmlformats.org/drawingml/2006/main">
                <a:ext uri="{FF2B5EF4-FFF2-40B4-BE49-F238E27FC236}">
                  <a16:creationId xmlns:a16="http://schemas.microsoft.com/office/drawing/2014/main" id="{EAD6D322-9475-4857-BEA7-B3D009D14A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EAD6D322-9475-4857-BEA7-B3D009D14A3D}"/>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945255"/>
                    </a:xfrm>
                    <a:prstGeom prst="rect">
                      <a:avLst/>
                    </a:prstGeom>
                    <a:noFill/>
                    <a:ln>
                      <a:noFill/>
                    </a:ln>
                    <a:extLst/>
                  </pic:spPr>
                </pic:pic>
              </a:graphicData>
            </a:graphic>
          </wp:inline>
        </w:drawing>
      </w:r>
    </w:p>
    <w:sectPr w:rsidR="00620035" w:rsidRPr="006200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charset w:val="00"/>
    <w:family w:val="roman"/>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35"/>
    <w:rsid w:val="00200C1E"/>
    <w:rsid w:val="0030063F"/>
    <w:rsid w:val="003F1C23"/>
    <w:rsid w:val="003F5848"/>
    <w:rsid w:val="00400964"/>
    <w:rsid w:val="00557A15"/>
    <w:rsid w:val="0057220B"/>
    <w:rsid w:val="00594B88"/>
    <w:rsid w:val="00620035"/>
    <w:rsid w:val="006426C7"/>
    <w:rsid w:val="00657278"/>
    <w:rsid w:val="00672367"/>
    <w:rsid w:val="007239BC"/>
    <w:rsid w:val="008E6FAF"/>
    <w:rsid w:val="008F2958"/>
    <w:rsid w:val="00A11824"/>
    <w:rsid w:val="00B24725"/>
    <w:rsid w:val="00B4357A"/>
    <w:rsid w:val="00B979C7"/>
    <w:rsid w:val="00BC368F"/>
    <w:rsid w:val="00CD0BE6"/>
    <w:rsid w:val="00CD7AE6"/>
    <w:rsid w:val="00D669A6"/>
    <w:rsid w:val="00E80C8F"/>
    <w:rsid w:val="00F50843"/>
    <w:rsid w:val="00FF6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CFF2"/>
  <w15:chartTrackingRefBased/>
  <w15:docId w15:val="{5813D0AB-DF3B-4C3B-B5F1-64D7C3BA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ascalia1">
    <w:name w:val="Didascalia1"/>
    <w:basedOn w:val="Normale"/>
    <w:next w:val="Normale"/>
    <w:rsid w:val="008F2958"/>
    <w:pPr>
      <w:suppressAutoHyphens/>
      <w:spacing w:after="200" w:line="240" w:lineRule="auto"/>
    </w:pPr>
    <w:rPr>
      <w:rFonts w:ascii="Calibri" w:eastAsia="Calibri" w:hAnsi="Calibri" w:cs="Calibri"/>
      <w:b/>
      <w:bCs/>
      <w:color w:val="4F81BD"/>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898</Words>
  <Characters>5121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malavolta</dc:creator>
  <cp:keywords/>
  <dc:description/>
  <cp:lastModifiedBy>marco malavolta</cp:lastModifiedBy>
  <cp:revision>4</cp:revision>
  <dcterms:created xsi:type="dcterms:W3CDTF">2017-10-24T13:02:00Z</dcterms:created>
  <dcterms:modified xsi:type="dcterms:W3CDTF">2017-10-29T18:39:00Z</dcterms:modified>
</cp:coreProperties>
</file>