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X="-793" w:tblpY="-1439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324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bookmarkStart w:id="4" w:name="_GoBack"/>
            <w:bookmarkEnd w:id="4"/>
          </w:p>
        </w:tc>
      </w:tr>
    </w:tbl>
    <w:p>
      <w:pPr>
        <w:spacing w:after="156" w:afterLines="50"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Table S1 Effect of </w:t>
      </w:r>
      <w:r>
        <w:rPr>
          <w:rFonts w:ascii="Times New Roman" w:hAnsi="Times New Roman" w:cs="Times New Roman"/>
          <w:szCs w:val="21"/>
        </w:rPr>
        <w:t xml:space="preserve">Nox1/4 inhibitor </w:t>
      </w:r>
      <w:r>
        <w:rPr>
          <w:rFonts w:hint="eastAsia" w:ascii="Times New Roman" w:hAnsi="Times New Roman" w:cs="Times New Roman"/>
          <w:szCs w:val="21"/>
        </w:rPr>
        <w:t>GKT137831 on s</w:t>
      </w:r>
      <w:r>
        <w:rPr>
          <w:rFonts w:ascii="Times New Roman" w:hAnsi="Times New Roman" w:cs="Times New Roman"/>
          <w:szCs w:val="21"/>
        </w:rPr>
        <w:t>ystolic blood pressure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(SBP) </w:t>
      </w:r>
      <w:r>
        <w:rPr>
          <w:rFonts w:hint="eastAsia" w:ascii="Times New Roman" w:hAnsi="Times New Roman" w:cs="Times New Roman"/>
          <w:szCs w:val="21"/>
        </w:rPr>
        <w:t>in spontaneously hypertensive rat</w:t>
      </w:r>
      <w:r>
        <w:rPr>
          <w:rFonts w:ascii="Times New Roman" w:hAnsi="Times New Roman" w:cs="Times New Roman"/>
          <w:szCs w:val="21"/>
        </w:rPr>
        <w:t>s</w:t>
      </w:r>
      <w:r>
        <w:rPr>
          <w:rFonts w:hint="eastAsia" w:ascii="Times New Roman" w:hAnsi="Times New Roman" w:cs="Times New Roman"/>
          <w:szCs w:val="21"/>
        </w:rPr>
        <w:t xml:space="preserve">. </w:t>
      </w:r>
    </w:p>
    <w:tbl>
      <w:tblPr>
        <w:tblStyle w:val="12"/>
        <w:tblW w:w="581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16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 w:val="0"/>
                <w:szCs w:val="21"/>
              </w:rPr>
            </w:pPr>
            <w:bookmarkStart w:id="0" w:name="_Hlk532226772"/>
            <w:r>
              <w:rPr>
                <w:rFonts w:ascii="Times New Roman" w:hAnsi="Times New Roman" w:cs="Times New Roman"/>
                <w:b w:val="0"/>
                <w:bCs/>
                <w:szCs w:val="21"/>
              </w:rPr>
              <w:t>SBP</w:t>
            </w:r>
          </w:p>
        </w:tc>
        <w:tc>
          <w:tcPr>
            <w:tcW w:w="2074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1"/>
              </w:rPr>
              <w:t>0 week</w:t>
            </w:r>
          </w:p>
        </w:tc>
        <w:tc>
          <w:tcPr>
            <w:tcW w:w="1664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1"/>
              </w:rPr>
              <w:t>4</w:t>
            </w:r>
            <w:r>
              <w:rPr>
                <w:rFonts w:ascii="Times New Roman" w:hAnsi="Times New Roman" w:cs="Times New Roman"/>
                <w:b w:val="0"/>
                <w:bCs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bCs/>
                <w:szCs w:val="21"/>
              </w:rPr>
              <w:t xml:space="preserve"> week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tcBorders>
              <w:top w:val="single" w:color="auto" w:sz="4" w:space="0"/>
              <w:bottom w:val="nil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1"/>
              </w:rPr>
              <w:t>Control</w:t>
            </w:r>
          </w:p>
        </w:tc>
        <w:tc>
          <w:tcPr>
            <w:tcW w:w="2074" w:type="dxa"/>
            <w:tcBorders>
              <w:top w:val="single" w:color="auto" w:sz="4" w:space="0"/>
              <w:bottom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114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hint="eastAsia" w:ascii="Times New Roman" w:hAnsi="Times New Roman" w:cs="Times New Roman"/>
                <w:szCs w:val="21"/>
              </w:rPr>
              <w:t>6.8</w:t>
            </w:r>
          </w:p>
        </w:tc>
        <w:tc>
          <w:tcPr>
            <w:tcW w:w="1664" w:type="dxa"/>
            <w:tcBorders>
              <w:top w:val="single" w:color="auto" w:sz="4" w:space="0"/>
              <w:bottom w:val="nil"/>
            </w:tcBorders>
          </w:tcPr>
          <w:p>
            <w:pPr>
              <w:spacing w:line="480" w:lineRule="auto"/>
              <w:ind w:firstLine="315" w:firstLineChars="1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120±8.9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</w:rPr>
              <w:t>SHR</w:t>
            </w: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164±8.4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#</w:t>
            </w:r>
          </w:p>
        </w:tc>
        <w:tc>
          <w:tcPr>
            <w:tcW w:w="1664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182+10.2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#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74" w:type="dxa"/>
            <w:tcBorders>
              <w:top w:val="nil"/>
              <w:bottom w:val="single" w:color="auto" w:sz="4" w:space="0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</w:rPr>
              <w:t>SHR+GKT137831</w:t>
            </w:r>
            <w:r>
              <w:rPr>
                <w:rFonts w:ascii="Times New Roman" w:hAnsi="Times New Roman" w:cs="Times New Roman"/>
                <w:b w:val="0"/>
                <w:bCs/>
                <w:szCs w:val="21"/>
              </w:rPr>
              <w:t xml:space="preserve">     </w:t>
            </w:r>
          </w:p>
        </w:tc>
        <w:tc>
          <w:tcPr>
            <w:tcW w:w="2074" w:type="dxa"/>
            <w:tcBorders>
              <w:top w:val="nil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162±6.0</w:t>
            </w:r>
          </w:p>
        </w:tc>
        <w:tc>
          <w:tcPr>
            <w:tcW w:w="1664" w:type="dxa"/>
            <w:tcBorders>
              <w:top w:val="nil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±8.8</w:t>
            </w:r>
          </w:p>
        </w:tc>
      </w:tr>
      <w:bookmarkEnd w:id="0"/>
    </w:tbl>
    <w:p>
      <w:pPr>
        <w:spacing w:line="360" w:lineRule="auto"/>
        <w:rPr>
          <w:rFonts w:ascii="Times New Roman" w:hAnsi="Times New Roman" w:cs="Times New Roman"/>
          <w:szCs w:val="21"/>
        </w:rPr>
      </w:pPr>
      <w:bookmarkStart w:id="1" w:name="_Hlk532226948"/>
      <w:r>
        <w:rPr>
          <w:rFonts w:ascii="Times New Roman" w:hAnsi="Times New Roman" w:cs="Times New Roman"/>
          <w:szCs w:val="21"/>
        </w:rPr>
        <w:t xml:space="preserve">SHR represents spontaneously hypertensive rat. Data are expressed as mean ± </w:t>
      </w:r>
      <w:r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  <w:t>standard deviation</w:t>
      </w:r>
      <w:r>
        <w:rPr>
          <w:rFonts w:ascii="Times New Roman" w:hAnsi="Times New Roman" w:cs="Times New Roman"/>
          <w:szCs w:val="21"/>
        </w:rPr>
        <w:t xml:space="preserve">, n = 10 rats per group. The statistical analyses were performed by two-way </w:t>
      </w:r>
      <w:r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  <w:t xml:space="preserve">ANOVA followed by post hoc test. </w:t>
      </w:r>
      <w:r>
        <w:rPr>
          <w:rFonts w:ascii="Times New Roman" w:hAnsi="Times New Roman" w:eastAsia="宋体" w:cs="Times New Roman"/>
          <w:color w:val="000000"/>
          <w:szCs w:val="21"/>
          <w:shd w:val="clear" w:color="auto" w:fill="FFFFFF"/>
          <w:vertAlign w:val="superscript"/>
        </w:rPr>
        <w:t>#</w:t>
      </w:r>
      <w:r>
        <w:rPr>
          <w:rFonts w:ascii="Times New Roman" w:hAnsi="Times New Roman" w:eastAsia="宋体" w:cs="Times New Roman"/>
          <w:i/>
          <w:color w:val="000000"/>
          <w:szCs w:val="21"/>
          <w:shd w:val="clear" w:color="auto" w:fill="FFFFFF"/>
        </w:rPr>
        <w:t>P</w:t>
      </w:r>
      <w:r>
        <w:rPr>
          <w:rFonts w:ascii="Times New Roman" w:hAnsi="Times New Roman" w:cs="Times New Roman"/>
          <w:szCs w:val="21"/>
        </w:rPr>
        <w:t xml:space="preserve">&lt;0.05 vs. Control.  </w:t>
      </w:r>
    </w:p>
    <w:bookmarkEnd w:id="1"/>
    <w:p>
      <w:pPr>
        <w:spacing w:line="480" w:lineRule="auto"/>
        <w:rPr>
          <w:rFonts w:ascii="Times New Roman" w:hAnsi="Times New Roman" w:cs="Times New Roman"/>
          <w:szCs w:val="21"/>
        </w:rPr>
      </w:pPr>
    </w:p>
    <w:p>
      <w:pPr>
        <w:spacing w:line="480" w:lineRule="auto"/>
        <w:rPr>
          <w:rFonts w:ascii="Times New Roman" w:hAnsi="Times New Roman" w:cs="Times New Roman"/>
          <w:szCs w:val="21"/>
        </w:rPr>
      </w:pPr>
    </w:p>
    <w:p>
      <w:pPr>
        <w:spacing w:after="156" w:afterLines="50"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Table S2 Effect of </w:t>
      </w:r>
      <w:bookmarkStart w:id="2" w:name="_Hlk38267542"/>
      <w:r>
        <w:rPr>
          <w:rFonts w:ascii="Times New Roman" w:hAnsi="Times New Roman" w:cs="Times New Roman"/>
          <w:szCs w:val="21"/>
        </w:rPr>
        <w:t xml:space="preserve">selective epidermal growth factor receptor (EGFR) inhibitor </w:t>
      </w:r>
      <w:bookmarkEnd w:id="2"/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G</w:t>
      </w:r>
      <w:r>
        <w:rPr>
          <w:rFonts w:ascii="Times New Roman" w:hAnsi="Times New Roman" w:cs="Times New Roman"/>
          <w:szCs w:val="21"/>
        </w:rPr>
        <w:t>1478</w:t>
      </w:r>
      <w:r>
        <w:rPr>
          <w:rFonts w:hint="eastAsia" w:ascii="Times New Roman" w:hAnsi="Times New Roman" w:cs="Times New Roman"/>
          <w:szCs w:val="21"/>
        </w:rPr>
        <w:t xml:space="preserve"> on s</w:t>
      </w:r>
      <w:r>
        <w:rPr>
          <w:rFonts w:ascii="Times New Roman" w:hAnsi="Times New Roman" w:cs="Times New Roman"/>
          <w:szCs w:val="21"/>
        </w:rPr>
        <w:t>ystolic blood pressure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(SBP) </w:t>
      </w:r>
      <w:r>
        <w:rPr>
          <w:rFonts w:hint="eastAsia" w:ascii="Times New Roman" w:hAnsi="Times New Roman" w:cs="Times New Roman"/>
          <w:szCs w:val="21"/>
        </w:rPr>
        <w:t>in spontaneously hypertensive rat</w:t>
      </w:r>
      <w:r>
        <w:rPr>
          <w:rFonts w:ascii="Times New Roman" w:hAnsi="Times New Roman" w:cs="Times New Roman"/>
          <w:szCs w:val="21"/>
        </w:rPr>
        <w:t>s.</w:t>
      </w:r>
      <w:r>
        <w:rPr>
          <w:rFonts w:hint="eastAsia" w:ascii="Times New Roman" w:hAnsi="Times New Roman" w:cs="Times New Roman"/>
          <w:szCs w:val="21"/>
        </w:rPr>
        <w:t xml:space="preserve"> </w:t>
      </w:r>
    </w:p>
    <w:tbl>
      <w:tblPr>
        <w:tblStyle w:val="12"/>
        <w:tblW w:w="6240" w:type="dxa"/>
        <w:jc w:val="center"/>
        <w:tblBorders>
          <w:top w:val="single" w:color="auto" w:sz="4" w:space="0"/>
          <w:left w:val="none" w:color="auto" w:sz="0" w:space="0"/>
          <w:bottom w:val="single" w:color="7E7E7E" w:themeColor="text1" w:themeTint="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</w:tblGrid>
      <w:tr>
        <w:tblPrEx>
          <w:tblBorders>
            <w:top w:val="single" w:color="auto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80" w:type="dxa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1"/>
              </w:rPr>
              <w:t>SBP</w:t>
            </w:r>
          </w:p>
        </w:tc>
        <w:tc>
          <w:tcPr>
            <w:tcW w:w="2080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1"/>
              </w:rPr>
              <w:t>0 week</w:t>
            </w:r>
          </w:p>
        </w:tc>
        <w:tc>
          <w:tcPr>
            <w:tcW w:w="2080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1"/>
              </w:rPr>
              <w:t>4</w:t>
            </w:r>
            <w:r>
              <w:rPr>
                <w:rFonts w:ascii="Times New Roman" w:hAnsi="Times New Roman" w:cs="Times New Roman"/>
                <w:b w:val="0"/>
                <w:bCs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bCs/>
                <w:szCs w:val="21"/>
              </w:rPr>
              <w:t xml:space="preserve"> week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80" w:type="dxa"/>
            <w:tcBorders>
              <w:top w:val="single" w:color="auto" w:sz="4" w:space="0"/>
              <w:bottom w:val="nil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1"/>
              </w:rPr>
              <w:t>Control</w:t>
            </w:r>
          </w:p>
        </w:tc>
        <w:tc>
          <w:tcPr>
            <w:tcW w:w="2080" w:type="dxa"/>
            <w:tcBorders>
              <w:top w:val="single" w:color="auto" w:sz="4" w:space="0"/>
              <w:bottom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>5±7.9</w:t>
            </w:r>
          </w:p>
        </w:tc>
        <w:tc>
          <w:tcPr>
            <w:tcW w:w="2080" w:type="dxa"/>
            <w:tcBorders>
              <w:top w:val="single" w:color="auto" w:sz="4" w:space="0"/>
              <w:bottom w:val="nil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122±9.0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80" w:type="dxa"/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</w:rPr>
              <w:t>SHR</w:t>
            </w:r>
          </w:p>
        </w:tc>
        <w:tc>
          <w:tcPr>
            <w:tcW w:w="2080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160±6.5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#</w:t>
            </w:r>
          </w:p>
        </w:tc>
        <w:tc>
          <w:tcPr>
            <w:tcW w:w="2080" w:type="dxa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180+9.8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#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80" w:type="dxa"/>
            <w:tcBorders>
              <w:top w:val="nil"/>
              <w:bottom w:val="single" w:color="auto" w:sz="4" w:space="0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</w:rPr>
              <w:t>SHR+</w:t>
            </w:r>
            <w:r>
              <w:rPr>
                <w:rFonts w:ascii="Times New Roman" w:hAnsi="Times New Roman" w:cs="Times New Roman"/>
                <w:b w:val="0"/>
                <w:bCs/>
                <w:szCs w:val="21"/>
              </w:rPr>
              <w:t>AG</w:t>
            </w:r>
            <w:r>
              <w:rPr>
                <w:rFonts w:hint="eastAsia" w:ascii="Times New Roman" w:hAnsi="Times New Roman" w:cs="Times New Roman"/>
                <w:b w:val="0"/>
                <w:bCs/>
                <w:szCs w:val="21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Cs w:val="21"/>
              </w:rPr>
              <w:t xml:space="preserve">478     </w:t>
            </w:r>
          </w:p>
        </w:tc>
        <w:tc>
          <w:tcPr>
            <w:tcW w:w="2080" w:type="dxa"/>
            <w:tcBorders>
              <w:top w:val="nil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162±7.4</w:t>
            </w:r>
          </w:p>
        </w:tc>
        <w:tc>
          <w:tcPr>
            <w:tcW w:w="2080" w:type="dxa"/>
            <w:tcBorders>
              <w:top w:val="nil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172±7.8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Cs w:val="21"/>
        </w:rPr>
      </w:pPr>
      <w:bookmarkStart w:id="3" w:name="_Hlk532287032"/>
      <w:r>
        <w:rPr>
          <w:rFonts w:ascii="Times New Roman" w:hAnsi="Times New Roman" w:cs="Times New Roman"/>
          <w:szCs w:val="21"/>
        </w:rPr>
        <w:t>SHR represents spontaneously hypertensive rat</w:t>
      </w:r>
      <w:bookmarkEnd w:id="3"/>
      <w:r>
        <w:rPr>
          <w:rFonts w:ascii="Times New Roman" w:hAnsi="Times New Roman" w:cs="Times New Roman"/>
          <w:szCs w:val="21"/>
        </w:rPr>
        <w:t xml:space="preserve">. Data are expressed as mean ± </w:t>
      </w:r>
      <w:r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  <w:t>standard deviation</w:t>
      </w:r>
      <w:r>
        <w:rPr>
          <w:rFonts w:ascii="Times New Roman" w:hAnsi="Times New Roman" w:cs="Times New Roman"/>
          <w:szCs w:val="21"/>
        </w:rPr>
        <w:t xml:space="preserve">, n = 10 rats per group. The two-way </w:t>
      </w:r>
      <w:r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  <w:t>ANOVA followed by post hoc test</w:t>
      </w:r>
      <w:r>
        <w:rPr>
          <w:rFonts w:ascii="Times New Roman" w:hAnsi="Times New Roman" w:cs="Times New Roman"/>
          <w:szCs w:val="21"/>
        </w:rPr>
        <w:t xml:space="preserve"> was used for the statistical tests</w:t>
      </w:r>
      <w:r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  <w:t xml:space="preserve">. </w:t>
      </w:r>
      <w:r>
        <w:rPr>
          <w:rFonts w:ascii="Times New Roman" w:hAnsi="Times New Roman" w:eastAsia="宋体" w:cs="Times New Roman"/>
          <w:color w:val="000000"/>
          <w:szCs w:val="21"/>
          <w:shd w:val="clear" w:color="auto" w:fill="FFFFFF"/>
          <w:vertAlign w:val="superscript"/>
        </w:rPr>
        <w:t>#</w:t>
      </w:r>
      <w:r>
        <w:rPr>
          <w:rFonts w:ascii="Times New Roman" w:hAnsi="Times New Roman" w:eastAsia="宋体" w:cs="Times New Roman"/>
          <w:i/>
          <w:color w:val="000000"/>
          <w:szCs w:val="21"/>
          <w:shd w:val="clear" w:color="auto" w:fill="FFFFFF"/>
        </w:rPr>
        <w:t>P</w:t>
      </w:r>
      <w:r>
        <w:rPr>
          <w:rFonts w:ascii="Times New Roman" w:hAnsi="Times New Roman" w:cs="Times New Roman"/>
          <w:szCs w:val="21"/>
        </w:rPr>
        <w:t xml:space="preserve">&lt;0.05 vs. Control.  </w:t>
      </w:r>
    </w:p>
    <w:p>
      <w:pPr>
        <w:spacing w:line="480" w:lineRule="auto"/>
        <w:rPr>
          <w:rFonts w:ascii="Times New Roman" w:hAnsi="Times New Roman" w:cs="Times New Roman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91"/>
    <w:rsid w:val="00015C84"/>
    <w:rsid w:val="001453EC"/>
    <w:rsid w:val="001608EF"/>
    <w:rsid w:val="001C20A9"/>
    <w:rsid w:val="001C32EC"/>
    <w:rsid w:val="0021645D"/>
    <w:rsid w:val="00217DA1"/>
    <w:rsid w:val="002B7860"/>
    <w:rsid w:val="002F2958"/>
    <w:rsid w:val="00334908"/>
    <w:rsid w:val="00390A02"/>
    <w:rsid w:val="003C0BB2"/>
    <w:rsid w:val="003D184F"/>
    <w:rsid w:val="003E6106"/>
    <w:rsid w:val="004F11F7"/>
    <w:rsid w:val="004F7901"/>
    <w:rsid w:val="00510063"/>
    <w:rsid w:val="00651364"/>
    <w:rsid w:val="006B5375"/>
    <w:rsid w:val="00766292"/>
    <w:rsid w:val="007D3C73"/>
    <w:rsid w:val="007D5050"/>
    <w:rsid w:val="0083015D"/>
    <w:rsid w:val="00836FB0"/>
    <w:rsid w:val="00854009"/>
    <w:rsid w:val="008F618A"/>
    <w:rsid w:val="009D353B"/>
    <w:rsid w:val="00A22A2B"/>
    <w:rsid w:val="00A25749"/>
    <w:rsid w:val="00A46F46"/>
    <w:rsid w:val="00A47007"/>
    <w:rsid w:val="00A56C98"/>
    <w:rsid w:val="00A73400"/>
    <w:rsid w:val="00A97298"/>
    <w:rsid w:val="00B52CE8"/>
    <w:rsid w:val="00B56162"/>
    <w:rsid w:val="00B60391"/>
    <w:rsid w:val="00C43C38"/>
    <w:rsid w:val="00DB122E"/>
    <w:rsid w:val="00DE2A0D"/>
    <w:rsid w:val="00DE4EC0"/>
    <w:rsid w:val="00E33558"/>
    <w:rsid w:val="00EA1F9B"/>
    <w:rsid w:val="00F618CF"/>
    <w:rsid w:val="00F93C62"/>
    <w:rsid w:val="00FB1562"/>
    <w:rsid w:val="218240A6"/>
    <w:rsid w:val="30705723"/>
    <w:rsid w:val="40F601D1"/>
    <w:rsid w:val="440F1151"/>
    <w:rsid w:val="6683655C"/>
    <w:rsid w:val="72626129"/>
    <w:rsid w:val="76D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kern w:val="2"/>
      <w:sz w:val="18"/>
      <w:szCs w:val="18"/>
    </w:rPr>
  </w:style>
  <w:style w:type="table" w:customStyle="1" w:styleId="10">
    <w:name w:val="网格型浅色1"/>
    <w:basedOn w:val="5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1">
    <w:name w:val="无格式表格 11"/>
    <w:basedOn w:val="5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2">
    <w:name w:val="无格式表格 21"/>
    <w:basedOn w:val="5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3">
    <w:name w:val="网格型1"/>
    <w:basedOn w:val="5"/>
    <w:qFormat/>
    <w:uiPriority w:val="99"/>
    <w:pPr>
      <w:widowControl w:val="0"/>
      <w:spacing w:line="252" w:lineRule="auto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804</Characters>
  <Lines>6</Lines>
  <Paragraphs>1</Paragraphs>
  <TotalTime>6</TotalTime>
  <ScaleCrop>false</ScaleCrop>
  <LinksUpToDate>false</LinksUpToDate>
  <CharactersWithSpaces>943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2018-12-10T09:42:00Z</dcterms:created>
  <dc:creator>zyys</dc:creator>
  <cp:lastModifiedBy>cosmo</cp:lastModifiedBy>
  <dcterms:modified xsi:type="dcterms:W3CDTF">2020-06-19T00:22:29Z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