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9FEA4E" w14:textId="77777777" w:rsidR="00101744" w:rsidRPr="00101744" w:rsidRDefault="00101744" w:rsidP="00101744">
      <w:pPr>
        <w:suppressLineNumbers/>
        <w:spacing w:before="240" w:after="120"/>
        <w:jc w:val="center"/>
        <w:rPr>
          <w:rFonts w:ascii="Times New Roman" w:eastAsia="Calibri" w:hAnsi="Times New Roman" w:cs="Times New Roman"/>
          <w:i/>
          <w:sz w:val="32"/>
          <w:szCs w:val="32"/>
          <w:lang w:val="en-US"/>
        </w:rPr>
      </w:pPr>
      <w:bookmarkStart w:id="0" w:name="_GoBack"/>
      <w:bookmarkEnd w:id="0"/>
      <w:r w:rsidRPr="00101744">
        <w:rPr>
          <w:rFonts w:ascii="Times New Roman" w:eastAsia="Calibri" w:hAnsi="Times New Roman" w:cs="Times New Roman"/>
          <w:b/>
          <w:i/>
          <w:sz w:val="32"/>
          <w:szCs w:val="32"/>
          <w:lang w:val="en-US"/>
        </w:rPr>
        <w:t>Supplementary Material</w:t>
      </w:r>
    </w:p>
    <w:p w14:paraId="66EC86B4" w14:textId="77777777" w:rsidR="00101744" w:rsidRPr="00101744" w:rsidRDefault="00101744" w:rsidP="00101744">
      <w:pPr>
        <w:spacing w:line="360" w:lineRule="auto"/>
        <w:rPr>
          <w:rFonts w:ascii="Arial" w:eastAsia="Calibri" w:hAnsi="Arial" w:cs="Arial"/>
          <w:b/>
          <w:sz w:val="20"/>
          <w:szCs w:val="20"/>
          <w:lang w:val="en-US"/>
        </w:rPr>
      </w:pPr>
    </w:p>
    <w:p w14:paraId="1AF89576" w14:textId="77777777" w:rsidR="00101744" w:rsidRPr="00101744" w:rsidRDefault="00101744" w:rsidP="00101744">
      <w:pPr>
        <w:spacing w:line="480" w:lineRule="auto"/>
        <w:rPr>
          <w:rFonts w:ascii="Times New Roman" w:eastAsia="Times New Roman" w:hAnsi="Times New Roman" w:cs="Times New Roman"/>
          <w:b/>
          <w:color w:val="000000"/>
          <w:sz w:val="20"/>
          <w:szCs w:val="20"/>
          <w:lang w:val="en-US"/>
        </w:rPr>
      </w:pPr>
      <w:r w:rsidRPr="00101744">
        <w:rPr>
          <w:rFonts w:ascii="Times New Roman" w:eastAsia="Times New Roman" w:hAnsi="Times New Roman" w:cs="Times New Roman"/>
          <w:b/>
          <w:noProof/>
          <w:color w:val="000000"/>
          <w:sz w:val="20"/>
          <w:szCs w:val="20"/>
          <w:lang w:val="en-US"/>
        </w:rPr>
        <w:drawing>
          <wp:inline distT="0" distB="0" distL="0" distR="0" wp14:anchorId="7DEDC644" wp14:editId="25DC2401">
            <wp:extent cx="6200775" cy="3571875"/>
            <wp:effectExtent l="0" t="0" r="9525" b="9525"/>
            <wp:docPr id="9" name="Picture 9" descr="C:\toolbox\MetaAnalises\paperreadMathProg_NBR\metaread\REVhbm\Rev2HBM\Frontiers\ComputerSciRev\BrainNLang\Figure1_sup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oolbox\MetaAnalises\paperreadMathProg_NBR\metaread\REVhbm\Rev2HBM\Frontiers\ComputerSciRev\BrainNLang\Figure1_supl.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00775" cy="3571875"/>
                    </a:xfrm>
                    <a:prstGeom prst="rect">
                      <a:avLst/>
                    </a:prstGeom>
                    <a:noFill/>
                    <a:ln>
                      <a:noFill/>
                    </a:ln>
                  </pic:spPr>
                </pic:pic>
              </a:graphicData>
            </a:graphic>
          </wp:inline>
        </w:drawing>
      </w:r>
    </w:p>
    <w:p w14:paraId="4D8AA330" w14:textId="439907D1" w:rsidR="00101744" w:rsidRDefault="00101744" w:rsidP="00101744">
      <w:pPr>
        <w:autoSpaceDE w:val="0"/>
        <w:autoSpaceDN w:val="0"/>
        <w:spacing w:line="360" w:lineRule="auto"/>
        <w:rPr>
          <w:rFonts w:ascii="Arial" w:eastAsia="Calibri" w:hAnsi="Arial" w:cs="Arial"/>
          <w:sz w:val="20"/>
          <w:szCs w:val="20"/>
          <w:lang w:val="en-US"/>
        </w:rPr>
      </w:pPr>
      <w:r w:rsidRPr="00101744">
        <w:rPr>
          <w:rFonts w:ascii="Arial" w:eastAsia="Times New Roman" w:hAnsi="Arial" w:cs="Arial"/>
          <w:b/>
          <w:sz w:val="20"/>
          <w:szCs w:val="20"/>
          <w:lang w:val="en-US"/>
        </w:rPr>
        <w:t>Figure A1. PRISMA 2009 flow diagram for the meta-analysis. A) Reading papers.</w:t>
      </w:r>
      <w:r w:rsidRPr="00101744">
        <w:rPr>
          <w:rFonts w:ascii="Arial" w:eastAsia="Times New Roman" w:hAnsi="Arial" w:cs="Arial"/>
          <w:sz w:val="20"/>
          <w:szCs w:val="20"/>
          <w:lang w:val="en-US"/>
        </w:rPr>
        <w:t xml:space="preserve"> Among the excluded papers that not meet the inclusion criteria, the main reasons were: s</w:t>
      </w:r>
      <w:r w:rsidRPr="00101744">
        <w:rPr>
          <w:rFonts w:ascii="Arial" w:eastAsia="Times New Roman" w:hAnsi="Arial" w:cs="Arial"/>
          <w:color w:val="222222"/>
          <w:sz w:val="20"/>
          <w:szCs w:val="20"/>
          <w:lang w:val="en-US" w:eastAsia="pt-PT"/>
        </w:rPr>
        <w:t xml:space="preserve">tudies that reported only ROI analysis or </w:t>
      </w:r>
      <w:r w:rsidRPr="00101744">
        <w:rPr>
          <w:rFonts w:ascii="Arial" w:eastAsia="Calibri" w:hAnsi="Arial" w:cs="Arial"/>
          <w:sz w:val="20"/>
          <w:szCs w:val="20"/>
          <w:lang w:val="en-US"/>
        </w:rPr>
        <w:t>did not report results coordinates in a standard space</w:t>
      </w:r>
      <w:r w:rsidRPr="00101744">
        <w:rPr>
          <w:rFonts w:ascii="Arial" w:eastAsia="Times New Roman" w:hAnsi="Arial" w:cs="Arial"/>
          <w:color w:val="222222"/>
          <w:sz w:val="20"/>
          <w:szCs w:val="20"/>
          <w:lang w:val="en-US" w:eastAsia="pt-PT"/>
        </w:rPr>
        <w:t xml:space="preserve"> (N=23; screening step); </w:t>
      </w:r>
      <w:r w:rsidRPr="00101744">
        <w:rPr>
          <w:rFonts w:ascii="Arial" w:eastAsia="Calibri" w:hAnsi="Arial" w:cs="Arial"/>
          <w:sz w:val="20"/>
          <w:szCs w:val="20"/>
          <w:lang w:val="en-US"/>
        </w:rPr>
        <w:t xml:space="preserve">techniques other than fMRI (N=17); studies of special subject populations (N=3) or not adults (N=4); reviews (N=1), tested other brain functions and/or did not use visual stimuli (N=6); </w:t>
      </w:r>
      <w:r w:rsidRPr="00101744">
        <w:rPr>
          <w:rFonts w:ascii="Arial" w:eastAsia="Times New Roman" w:hAnsi="Arial" w:cs="Arial"/>
          <w:color w:val="222222"/>
          <w:sz w:val="20"/>
          <w:szCs w:val="20"/>
          <w:lang w:val="en-US" w:eastAsia="pt-PT"/>
        </w:rPr>
        <w:t>and studies with less than 8 subjects were also excluded (N=6)</w:t>
      </w:r>
      <w:r w:rsidRPr="00101744">
        <w:rPr>
          <w:rFonts w:ascii="Arial" w:eastAsia="Calibri" w:hAnsi="Arial" w:cs="Arial"/>
          <w:sz w:val="20"/>
          <w:szCs w:val="20"/>
          <w:lang w:val="en-US"/>
        </w:rPr>
        <w:t xml:space="preserve">. B) </w:t>
      </w:r>
      <w:r w:rsidRPr="00101744">
        <w:rPr>
          <w:rFonts w:ascii="Arial" w:eastAsia="Times New Roman" w:hAnsi="Arial" w:cs="Arial"/>
          <w:b/>
          <w:sz w:val="20"/>
          <w:szCs w:val="20"/>
          <w:lang w:val="en-US"/>
        </w:rPr>
        <w:t>Calculation papers</w:t>
      </w:r>
      <w:r w:rsidRPr="00101744">
        <w:rPr>
          <w:rFonts w:ascii="Arial" w:eastAsia="Times New Roman" w:hAnsi="Arial" w:cs="Arial"/>
          <w:sz w:val="20"/>
          <w:szCs w:val="20"/>
          <w:lang w:val="en-US"/>
        </w:rPr>
        <w:t>. Among the excluded papers that not meet the inclusion criteria, the main reasons were: s</w:t>
      </w:r>
      <w:r w:rsidRPr="00101744">
        <w:rPr>
          <w:rFonts w:ascii="Arial" w:eastAsia="Times New Roman" w:hAnsi="Arial" w:cs="Arial"/>
          <w:color w:val="222222"/>
          <w:sz w:val="20"/>
          <w:szCs w:val="20"/>
          <w:lang w:val="en-US" w:eastAsia="pt-PT"/>
        </w:rPr>
        <w:t xml:space="preserve">tudies that reported only ROI analysis or </w:t>
      </w:r>
      <w:r w:rsidRPr="00101744">
        <w:rPr>
          <w:rFonts w:ascii="Arial" w:eastAsia="Calibri" w:hAnsi="Arial" w:cs="Arial"/>
          <w:sz w:val="20"/>
          <w:szCs w:val="20"/>
          <w:lang w:val="en-US"/>
        </w:rPr>
        <w:t>did not report results coordinates in a standard space</w:t>
      </w:r>
      <w:r w:rsidRPr="00101744">
        <w:rPr>
          <w:rFonts w:ascii="Arial" w:eastAsia="Times New Roman" w:hAnsi="Arial" w:cs="Arial"/>
          <w:color w:val="222222"/>
          <w:sz w:val="20"/>
          <w:szCs w:val="20"/>
          <w:lang w:val="en-US" w:eastAsia="pt-PT"/>
        </w:rPr>
        <w:t xml:space="preserve"> (N=39; screening step); </w:t>
      </w:r>
      <w:r w:rsidRPr="00101744">
        <w:rPr>
          <w:rFonts w:ascii="Arial" w:eastAsia="Calibri" w:hAnsi="Arial" w:cs="Arial"/>
          <w:sz w:val="20"/>
          <w:szCs w:val="20"/>
          <w:lang w:val="en-US"/>
        </w:rPr>
        <w:lastRenderedPageBreak/>
        <w:t xml:space="preserve">techniques other than fMRI (N=1); not adults (N=2); reviews (N=2), tested other brain functions (N=19), did not use visual stimuli (N=3), the task was passive viewing (N=5); </w:t>
      </w:r>
      <w:r w:rsidRPr="00101744">
        <w:rPr>
          <w:rFonts w:ascii="Arial" w:eastAsia="Times New Roman" w:hAnsi="Arial" w:cs="Arial"/>
          <w:color w:val="222222"/>
          <w:sz w:val="20"/>
          <w:szCs w:val="20"/>
          <w:lang w:val="en-US" w:eastAsia="pt-PT"/>
        </w:rPr>
        <w:t xml:space="preserve">studies with less than 8 subjects were also excluded (N=2) </w:t>
      </w:r>
      <w:r w:rsidRPr="00101744">
        <w:rPr>
          <w:rFonts w:ascii="Arial" w:eastAsia="Times New Roman" w:hAnsi="Arial" w:cs="Arial"/>
          <w:color w:val="222222"/>
          <w:sz w:val="20"/>
          <w:szCs w:val="20"/>
          <w:lang w:val="en-US" w:eastAsia="pt-PT"/>
        </w:rPr>
        <w:fldChar w:fldCharType="begin" w:fldLock="1"/>
      </w:r>
      <w:r w:rsidR="00C14016">
        <w:rPr>
          <w:rFonts w:ascii="Arial" w:eastAsia="Times New Roman" w:hAnsi="Arial" w:cs="Arial"/>
          <w:color w:val="222222"/>
          <w:sz w:val="20"/>
          <w:szCs w:val="20"/>
          <w:lang w:val="en-US" w:eastAsia="pt-PT"/>
        </w:rPr>
        <w:instrText>ADDIN CSL_CITATION {"citationItems":[{"id":"ITEM-1","itemData":{"DOI":"10.1016/j.neuroimage.2016.04.072","ISSN":"10538119","PMID":"27179606","abstract":"Given the increasing number of neuroimaging publications, the automated knowledge extraction on brain-behavior associations by quantitative meta-analyses has become a highly important and rapidly growing field of research. Among several methods to perform coordinate-based neuroimaging meta-analyses, Activation Likelihood Estimation (ALE) has been widely adopted. In this paper, we addressed two pressing questions related to ALE meta-analysis: i) Which thresholding method is most appropriate to perform statistical inference? ii) Which sample size, i.e., number of experiments, is needed to perform robust meta-analyses? We provided quantitative answers to these questions by simulating more than 120,000 meta-analysis datasets using empirical parameters (i.e., number of subjects, number of reported foci, distribution of activation foci) derived from the BrainMap database. This allowed to characterize the behavior of ALE analyses, to derive first power estimates for neuroimaging meta-analyses, and to thus formulate recommendations for future ALE studies. We could show as a first consequence that cluster-level family-wise error (FWE) correction represents the most appropriate method for statistical inference, while voxel-level FWE correction is valid but more conservative. In contrast, uncorrected inference and false-discovery rate correction should be avoided. As a second consequence, researchers should aim to include at least 20 experiments into an ALE meta-analysis to achieve sufficient power for moderate effects. We would like to note, though, that these calculations and recommendations are specific to ALE and may not be extrapolated to other approaches for (neuroimaging) meta-analysis.","author":[{"dropping-particle":"","family":"Eickhoff","given":"Simon B.","non-dropping-particle":"","parse-names":false,"suffix":""},{"dropping-particle":"","family":"Nichols","given":"Thomas E.","non-dropping-particle":"","parse-names":false,"suffix":""},{"dropping-particle":"","family":"Laird","given":"Angela R.","non-dropping-particle":"","parse-names":false,"suffix":""},{"dropping-particle":"","family":"Hoffstaedter","given":"Felix","non-dropping-particle":"","parse-names":false,"suffix":""},{"dropping-particle":"","family":"Amunts","given":"Katrin","non-dropping-particle":"","parse-names":false,"suffix":""},{"dropping-particle":"","family":"Fox","given":"Peter T.","non-dropping-particle":"","parse-names":false,"suffix":""},{"dropping-particle":"","family":"Bzdok","given":"Danilo","non-dropping-particle":"","parse-names":false,"suffix":""},{"dropping-particle":"","family":"Eickhoff","given":"Claudia R.","non-dropping-particle":"","parse-names":false,"suffix":""}],"container-title":"NeuroImage","id":"ITEM-1","issued":{"date-parts":[["2016","8","15"]]},"page":"70-85","title":"Behavior, sensitivity, and power of activation likelihood estimation characterized by massive empirical simulation","type":"article-journal","volume":"137"},"uris":["http://www.mendeley.com/documents/?uuid=8539d1d8-8f25-4231-8d5a-6425766767de"]}],"mendeley":{"formattedCitation":"(Eickhoff et al. 2016)","plainTextFormattedCitation":"(Eickhoff et al. 2016)","previouslyFormattedCitation":"&lt;sup&gt;1&lt;/sup&gt;"},"properties":{"noteIndex":0},"schema":"https://github.com/citation-style-language/schema/raw/master/csl-citation.json"}</w:instrText>
      </w:r>
      <w:r w:rsidRPr="00101744">
        <w:rPr>
          <w:rFonts w:ascii="Arial" w:eastAsia="Times New Roman" w:hAnsi="Arial" w:cs="Arial"/>
          <w:color w:val="222222"/>
          <w:sz w:val="20"/>
          <w:szCs w:val="20"/>
          <w:lang w:val="en-US" w:eastAsia="pt-PT"/>
        </w:rPr>
        <w:fldChar w:fldCharType="separate"/>
      </w:r>
      <w:r w:rsidR="00C14016" w:rsidRPr="00C14016">
        <w:rPr>
          <w:rFonts w:ascii="Arial" w:eastAsia="Times New Roman" w:hAnsi="Arial" w:cs="Arial"/>
          <w:noProof/>
          <w:color w:val="222222"/>
          <w:sz w:val="20"/>
          <w:szCs w:val="20"/>
          <w:lang w:val="en-US" w:eastAsia="pt-PT"/>
        </w:rPr>
        <w:t>(Eickhoff et al. 2016)</w:t>
      </w:r>
      <w:r w:rsidRPr="00101744">
        <w:rPr>
          <w:rFonts w:ascii="Arial" w:eastAsia="Times New Roman" w:hAnsi="Arial" w:cs="Arial"/>
          <w:color w:val="222222"/>
          <w:sz w:val="20"/>
          <w:szCs w:val="20"/>
          <w:lang w:val="en-US" w:eastAsia="pt-PT"/>
        </w:rPr>
        <w:fldChar w:fldCharType="end"/>
      </w:r>
      <w:r w:rsidRPr="00101744">
        <w:rPr>
          <w:rFonts w:ascii="Arial" w:eastAsia="Calibri" w:hAnsi="Arial" w:cs="Arial"/>
          <w:sz w:val="20"/>
          <w:szCs w:val="20"/>
          <w:lang w:val="en-US"/>
        </w:rPr>
        <w:t>.</w:t>
      </w:r>
    </w:p>
    <w:p w14:paraId="2A49B8E1" w14:textId="33F8B42C" w:rsidR="00272F70" w:rsidRDefault="00272F70" w:rsidP="00101744">
      <w:pPr>
        <w:autoSpaceDE w:val="0"/>
        <w:autoSpaceDN w:val="0"/>
        <w:spacing w:line="360" w:lineRule="auto"/>
        <w:rPr>
          <w:rFonts w:ascii="Arial" w:eastAsia="Calibri" w:hAnsi="Arial" w:cs="Arial"/>
          <w:sz w:val="20"/>
          <w:szCs w:val="20"/>
          <w:lang w:val="en-US"/>
        </w:rPr>
      </w:pPr>
      <w:r w:rsidRPr="00272F70">
        <w:rPr>
          <w:rFonts w:ascii="Arial" w:eastAsia="Calibri" w:hAnsi="Arial" w:cs="Arial"/>
          <w:noProof/>
          <w:sz w:val="20"/>
          <w:szCs w:val="20"/>
          <w:lang w:val="en-US"/>
        </w:rPr>
        <w:drawing>
          <wp:anchor distT="0" distB="0" distL="114300" distR="114300" simplePos="0" relativeHeight="251658240" behindDoc="0" locked="0" layoutInCell="1" allowOverlap="1" wp14:anchorId="64A4F843" wp14:editId="10324646">
            <wp:simplePos x="0" y="0"/>
            <wp:positionH relativeFrom="margin">
              <wp:posOffset>0</wp:posOffset>
            </wp:positionH>
            <wp:positionV relativeFrom="margin">
              <wp:posOffset>609600</wp:posOffset>
            </wp:positionV>
            <wp:extent cx="4728845" cy="5074920"/>
            <wp:effectExtent l="0" t="0" r="0" b="0"/>
            <wp:wrapSquare wrapText="bothSides"/>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7" cstate="print">
                      <a:extLst>
                        <a:ext uri="{28A0092B-C50C-407E-A947-70E740481C1C}">
                          <a14:useLocalDpi xmlns:a14="http://schemas.microsoft.com/office/drawing/2010/main" val="0"/>
                        </a:ext>
                      </a:extLst>
                    </a:blip>
                    <a:srcRect t="6140"/>
                    <a:stretch/>
                  </pic:blipFill>
                  <pic:spPr bwMode="auto">
                    <a:xfrm>
                      <a:off x="0" y="0"/>
                      <a:ext cx="4728845" cy="507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1C46A3" w14:textId="11DBAFEC" w:rsidR="00272F70" w:rsidRPr="00101744" w:rsidRDefault="00272F70" w:rsidP="00101744">
      <w:pPr>
        <w:autoSpaceDE w:val="0"/>
        <w:autoSpaceDN w:val="0"/>
        <w:spacing w:line="360" w:lineRule="auto"/>
        <w:rPr>
          <w:rFonts w:ascii="Arial" w:eastAsia="Calibri" w:hAnsi="Arial" w:cs="Arial"/>
          <w:sz w:val="20"/>
          <w:szCs w:val="20"/>
          <w:lang w:val="en-US"/>
        </w:rPr>
      </w:pPr>
    </w:p>
    <w:p w14:paraId="00408BA0" w14:textId="26122955" w:rsidR="00272F70" w:rsidRDefault="00272F70" w:rsidP="004D2967">
      <w:pPr>
        <w:autoSpaceDE w:val="0"/>
        <w:autoSpaceDN w:val="0"/>
        <w:spacing w:line="360" w:lineRule="auto"/>
        <w:rPr>
          <w:rFonts w:ascii="Arial" w:eastAsia="Calibri" w:hAnsi="Arial" w:cs="Arial"/>
          <w:sz w:val="20"/>
          <w:szCs w:val="20"/>
          <w:lang w:val="en-US"/>
        </w:rPr>
      </w:pPr>
      <w:r>
        <w:rPr>
          <w:rFonts w:ascii="Arial" w:eastAsia="Times New Roman" w:hAnsi="Arial" w:cs="Arial"/>
          <w:b/>
          <w:sz w:val="20"/>
          <w:szCs w:val="20"/>
          <w:lang w:val="en-US"/>
        </w:rPr>
        <w:t>Figure A2</w:t>
      </w:r>
      <w:r w:rsidRPr="00101744">
        <w:rPr>
          <w:rFonts w:ascii="Arial" w:eastAsia="Times New Roman" w:hAnsi="Arial" w:cs="Arial"/>
          <w:b/>
          <w:sz w:val="20"/>
          <w:szCs w:val="20"/>
          <w:lang w:val="en-US"/>
        </w:rPr>
        <w:t>.</w:t>
      </w:r>
      <w:r w:rsidR="004D2967">
        <w:rPr>
          <w:rFonts w:ascii="Arial" w:eastAsia="Times New Roman" w:hAnsi="Arial" w:cs="Arial"/>
          <w:b/>
          <w:sz w:val="20"/>
          <w:szCs w:val="20"/>
          <w:lang w:val="en-US"/>
        </w:rPr>
        <w:t xml:space="preserve"> </w:t>
      </w:r>
      <w:r w:rsidR="004D2967" w:rsidRPr="00C97D1F">
        <w:rPr>
          <w:rFonts w:eastAsia="Calibri"/>
          <w:b/>
        </w:rPr>
        <w:t>Brain activation maps of reading, calculation and programming skills</w:t>
      </w:r>
      <w:r w:rsidR="004D2967" w:rsidRPr="00C97D1F">
        <w:rPr>
          <w:rFonts w:eastAsia="Calibri"/>
        </w:rPr>
        <w:t xml:space="preserve">. Frontal decision related areas and other calculation (parietal </w:t>
      </w:r>
      <w:proofErr w:type="spellStart"/>
      <w:r w:rsidR="004D2967" w:rsidRPr="00C97D1F">
        <w:rPr>
          <w:rFonts w:eastAsia="Calibri"/>
        </w:rPr>
        <w:t>precuneus</w:t>
      </w:r>
      <w:proofErr w:type="spellEnd"/>
      <w:r w:rsidR="004D2967" w:rsidRPr="00C97D1F">
        <w:rPr>
          <w:rFonts w:eastAsia="Calibri"/>
        </w:rPr>
        <w:t>) and reading (middle temporal including visual word form area and inferior frontal gyrus) are activated during programming tasks.</w:t>
      </w:r>
      <w:r w:rsidR="004D2967">
        <w:rPr>
          <w:rFonts w:eastAsia="Calibri"/>
        </w:rPr>
        <w:t xml:space="preserve"> Maps are represented in a standard MNI image and FWE corrected for multiple comparisons.</w:t>
      </w:r>
    </w:p>
    <w:p w14:paraId="5AA341AD" w14:textId="77777777" w:rsidR="00101744" w:rsidRPr="00101744" w:rsidRDefault="00101744" w:rsidP="00101744">
      <w:pPr>
        <w:spacing w:line="480" w:lineRule="auto"/>
        <w:rPr>
          <w:rFonts w:ascii="Arial" w:eastAsia="Calibri" w:hAnsi="Arial" w:cs="Arial"/>
          <w:b/>
          <w:color w:val="000000"/>
          <w:sz w:val="20"/>
          <w:szCs w:val="20"/>
          <w:lang w:val="en-US"/>
        </w:rPr>
      </w:pPr>
    </w:p>
    <w:p w14:paraId="441B7080" w14:textId="77777777" w:rsidR="00101744" w:rsidRPr="00101744" w:rsidRDefault="00101744" w:rsidP="00101744">
      <w:pPr>
        <w:rPr>
          <w:rFonts w:ascii="Arial" w:eastAsia="Calibri" w:hAnsi="Arial" w:cs="Arial"/>
          <w:b/>
          <w:color w:val="000000"/>
          <w:sz w:val="20"/>
          <w:szCs w:val="20"/>
          <w:lang w:val="en-US"/>
        </w:rPr>
      </w:pPr>
      <w:r w:rsidRPr="00101744">
        <w:rPr>
          <w:rFonts w:ascii="Arial" w:eastAsia="Calibri" w:hAnsi="Arial" w:cs="Arial"/>
          <w:b/>
          <w:color w:val="000000"/>
          <w:sz w:val="20"/>
          <w:szCs w:val="20"/>
          <w:lang w:val="en-US"/>
        </w:rPr>
        <w:br w:type="page"/>
      </w:r>
    </w:p>
    <w:p w14:paraId="28475233" w14:textId="77777777" w:rsidR="003D1F45" w:rsidRPr="00101744" w:rsidRDefault="003D1F45" w:rsidP="003D1F45">
      <w:pPr>
        <w:spacing w:line="480" w:lineRule="auto"/>
        <w:rPr>
          <w:rFonts w:ascii="Arial" w:eastAsia="Calibri" w:hAnsi="Arial" w:cs="Arial"/>
          <w:b/>
          <w:color w:val="000000"/>
          <w:sz w:val="20"/>
          <w:szCs w:val="20"/>
          <w:lang w:val="en-US"/>
        </w:rPr>
      </w:pPr>
      <w:r w:rsidRPr="00101744">
        <w:rPr>
          <w:rFonts w:ascii="Arial" w:eastAsia="Calibri" w:hAnsi="Arial" w:cs="Arial"/>
          <w:b/>
          <w:color w:val="000000"/>
          <w:sz w:val="20"/>
          <w:szCs w:val="20"/>
          <w:lang w:val="en-US"/>
        </w:rPr>
        <w:lastRenderedPageBreak/>
        <w:t>Suppl. Tables</w:t>
      </w:r>
    </w:p>
    <w:p w14:paraId="53293615" w14:textId="77777777" w:rsidR="003D1F45" w:rsidRPr="00101744" w:rsidRDefault="003D1F45" w:rsidP="003D1F45">
      <w:pPr>
        <w:spacing w:line="480" w:lineRule="auto"/>
        <w:rPr>
          <w:rFonts w:ascii="Arial" w:eastAsia="Calibri" w:hAnsi="Arial" w:cs="Arial"/>
          <w:b/>
          <w:color w:val="000000"/>
          <w:sz w:val="20"/>
          <w:szCs w:val="20"/>
          <w:lang w:val="en-US"/>
        </w:rPr>
      </w:pPr>
      <w:r w:rsidRPr="00101744">
        <w:rPr>
          <w:rFonts w:ascii="Arial" w:eastAsia="Calibri" w:hAnsi="Arial" w:cs="Arial"/>
          <w:b/>
          <w:color w:val="000000"/>
          <w:sz w:val="20"/>
          <w:szCs w:val="20"/>
          <w:lang w:val="en-US"/>
        </w:rPr>
        <w:t>Table A1. Reading studies included in the meta-analysis.</w:t>
      </w:r>
    </w:p>
    <w:tbl>
      <w:tblPr>
        <w:tblStyle w:val="TableGrid"/>
        <w:tblW w:w="14905" w:type="dxa"/>
        <w:tblInd w:w="-431" w:type="dxa"/>
        <w:tblLook w:val="04A0" w:firstRow="1" w:lastRow="0" w:firstColumn="1" w:lastColumn="0" w:noHBand="0" w:noVBand="1"/>
      </w:tblPr>
      <w:tblGrid>
        <w:gridCol w:w="2269"/>
        <w:gridCol w:w="709"/>
        <w:gridCol w:w="650"/>
        <w:gridCol w:w="517"/>
        <w:gridCol w:w="767"/>
        <w:gridCol w:w="695"/>
        <w:gridCol w:w="1907"/>
        <w:gridCol w:w="587"/>
        <w:gridCol w:w="1681"/>
        <w:gridCol w:w="1547"/>
        <w:gridCol w:w="1855"/>
        <w:gridCol w:w="717"/>
        <w:gridCol w:w="1146"/>
      </w:tblGrid>
      <w:tr w:rsidR="003D1F45" w:rsidRPr="00101744" w14:paraId="4E313D2B" w14:textId="77777777" w:rsidTr="00B60BB2">
        <w:trPr>
          <w:trHeight w:val="300"/>
        </w:trPr>
        <w:tc>
          <w:tcPr>
            <w:tcW w:w="2269" w:type="dxa"/>
            <w:noWrap/>
            <w:hideMark/>
          </w:tcPr>
          <w:p w14:paraId="6F0CAF60"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Reference</w:t>
            </w:r>
          </w:p>
        </w:tc>
        <w:tc>
          <w:tcPr>
            <w:tcW w:w="709" w:type="dxa"/>
            <w:noWrap/>
            <w:hideMark/>
          </w:tcPr>
          <w:p w14:paraId="54B0D75B"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N</w:t>
            </w:r>
          </w:p>
        </w:tc>
        <w:tc>
          <w:tcPr>
            <w:tcW w:w="1167" w:type="dxa"/>
            <w:gridSpan w:val="2"/>
            <w:noWrap/>
            <w:hideMark/>
          </w:tcPr>
          <w:p w14:paraId="1F42A40A"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Gender</w:t>
            </w:r>
          </w:p>
        </w:tc>
        <w:tc>
          <w:tcPr>
            <w:tcW w:w="1462" w:type="dxa"/>
            <w:gridSpan w:val="2"/>
            <w:noWrap/>
            <w:hideMark/>
          </w:tcPr>
          <w:p w14:paraId="5A9BCF46"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Age (years)</w:t>
            </w:r>
          </w:p>
        </w:tc>
        <w:tc>
          <w:tcPr>
            <w:tcW w:w="1907" w:type="dxa"/>
            <w:noWrap/>
            <w:hideMark/>
          </w:tcPr>
          <w:p w14:paraId="266BA0C0"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Task</w:t>
            </w:r>
          </w:p>
        </w:tc>
        <w:tc>
          <w:tcPr>
            <w:tcW w:w="445" w:type="dxa"/>
            <w:noWrap/>
            <w:hideMark/>
          </w:tcPr>
          <w:p w14:paraId="0A02A3F2"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Foci</w:t>
            </w:r>
          </w:p>
        </w:tc>
        <w:tc>
          <w:tcPr>
            <w:tcW w:w="1681" w:type="dxa"/>
            <w:noWrap/>
            <w:hideMark/>
          </w:tcPr>
          <w:p w14:paraId="22582540" w14:textId="77777777" w:rsidR="003D1F45" w:rsidRPr="00101744" w:rsidRDefault="003D1F45" w:rsidP="00B60BB2">
            <w:pP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MRI vendor and Field Strength</w:t>
            </w:r>
          </w:p>
        </w:tc>
        <w:tc>
          <w:tcPr>
            <w:tcW w:w="1547" w:type="dxa"/>
            <w:noWrap/>
            <w:hideMark/>
          </w:tcPr>
          <w:p w14:paraId="2A99D3C8"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Software</w:t>
            </w:r>
          </w:p>
          <w:p w14:paraId="6A5E56BA"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 xml:space="preserve"> Used</w:t>
            </w:r>
          </w:p>
        </w:tc>
        <w:tc>
          <w:tcPr>
            <w:tcW w:w="1855" w:type="dxa"/>
            <w:noWrap/>
            <w:hideMark/>
          </w:tcPr>
          <w:p w14:paraId="40320AD1"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Statistical threshold</w:t>
            </w:r>
          </w:p>
        </w:tc>
        <w:tc>
          <w:tcPr>
            <w:tcW w:w="717" w:type="dxa"/>
            <w:noWrap/>
            <w:hideMark/>
          </w:tcPr>
          <w:p w14:paraId="5AD5C752"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TR (</w:t>
            </w:r>
            <w:proofErr w:type="spellStart"/>
            <w:r w:rsidRPr="00101744">
              <w:rPr>
                <w:rFonts w:ascii="Arial" w:eastAsia="Times New Roman" w:hAnsi="Arial" w:cs="Arial"/>
                <w:b/>
                <w:bCs/>
                <w:color w:val="000000"/>
                <w:sz w:val="18"/>
                <w:szCs w:val="18"/>
                <w:lang w:val="en-US" w:eastAsia="pt-PT"/>
              </w:rPr>
              <w:t>ms</w:t>
            </w:r>
            <w:proofErr w:type="spellEnd"/>
            <w:r w:rsidRPr="00101744">
              <w:rPr>
                <w:rFonts w:ascii="Arial" w:eastAsia="Times New Roman" w:hAnsi="Arial" w:cs="Arial"/>
                <w:b/>
                <w:bCs/>
                <w:color w:val="000000"/>
                <w:sz w:val="18"/>
                <w:szCs w:val="18"/>
                <w:lang w:val="en-US" w:eastAsia="pt-PT"/>
              </w:rPr>
              <w:t>)</w:t>
            </w:r>
          </w:p>
        </w:tc>
        <w:tc>
          <w:tcPr>
            <w:tcW w:w="1146" w:type="dxa"/>
            <w:noWrap/>
            <w:hideMark/>
          </w:tcPr>
          <w:p w14:paraId="564C74FF"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Resolution (mm)</w:t>
            </w:r>
          </w:p>
        </w:tc>
      </w:tr>
      <w:tr w:rsidR="003D1F45" w:rsidRPr="00101744" w14:paraId="3ADAFF36" w14:textId="77777777" w:rsidTr="00B60BB2">
        <w:trPr>
          <w:trHeight w:val="300"/>
        </w:trPr>
        <w:tc>
          <w:tcPr>
            <w:tcW w:w="2269" w:type="dxa"/>
            <w:noWrap/>
            <w:hideMark/>
          </w:tcPr>
          <w:p w14:paraId="52046EFD" w14:textId="77777777" w:rsidR="003D1F45" w:rsidRPr="00101744" w:rsidRDefault="003D1F45" w:rsidP="00B60BB2">
            <w:pPr>
              <w:jc w:val="center"/>
              <w:rPr>
                <w:rFonts w:ascii="Arial" w:eastAsia="Times New Roman" w:hAnsi="Arial" w:cs="Arial"/>
                <w:b/>
                <w:bCs/>
                <w:color w:val="000000"/>
                <w:sz w:val="18"/>
                <w:szCs w:val="18"/>
                <w:lang w:val="en-US" w:eastAsia="pt-PT"/>
              </w:rPr>
            </w:pPr>
          </w:p>
        </w:tc>
        <w:tc>
          <w:tcPr>
            <w:tcW w:w="709" w:type="dxa"/>
            <w:noWrap/>
            <w:hideMark/>
          </w:tcPr>
          <w:p w14:paraId="0F22CDFC" w14:textId="77777777" w:rsidR="003D1F45" w:rsidRPr="00101744" w:rsidRDefault="003D1F45" w:rsidP="00B60BB2">
            <w:pPr>
              <w:jc w:val="center"/>
              <w:rPr>
                <w:rFonts w:ascii="Arial" w:eastAsia="Times New Roman" w:hAnsi="Arial" w:cs="Arial"/>
                <w:sz w:val="18"/>
                <w:szCs w:val="18"/>
                <w:lang w:val="en-US" w:eastAsia="pt-PT"/>
              </w:rPr>
            </w:pPr>
          </w:p>
        </w:tc>
        <w:tc>
          <w:tcPr>
            <w:tcW w:w="650" w:type="dxa"/>
            <w:noWrap/>
            <w:hideMark/>
          </w:tcPr>
          <w:p w14:paraId="4544E98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M</w:t>
            </w:r>
          </w:p>
        </w:tc>
        <w:tc>
          <w:tcPr>
            <w:tcW w:w="517" w:type="dxa"/>
            <w:noWrap/>
            <w:hideMark/>
          </w:tcPr>
          <w:p w14:paraId="7FBED31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F</w:t>
            </w:r>
          </w:p>
        </w:tc>
        <w:tc>
          <w:tcPr>
            <w:tcW w:w="767" w:type="dxa"/>
            <w:noWrap/>
            <w:hideMark/>
          </w:tcPr>
          <w:p w14:paraId="56B5731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mean</w:t>
            </w:r>
          </w:p>
        </w:tc>
        <w:tc>
          <w:tcPr>
            <w:tcW w:w="695" w:type="dxa"/>
            <w:noWrap/>
            <w:hideMark/>
          </w:tcPr>
          <w:p w14:paraId="0A0D5A3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range</w:t>
            </w:r>
          </w:p>
        </w:tc>
        <w:tc>
          <w:tcPr>
            <w:tcW w:w="1907" w:type="dxa"/>
            <w:noWrap/>
            <w:hideMark/>
          </w:tcPr>
          <w:p w14:paraId="3D4B3C3C" w14:textId="77777777" w:rsidR="003D1F45" w:rsidRPr="00101744" w:rsidRDefault="003D1F45" w:rsidP="00B60BB2">
            <w:pPr>
              <w:rPr>
                <w:rFonts w:ascii="Arial" w:eastAsia="Times New Roman" w:hAnsi="Arial" w:cs="Arial"/>
                <w:color w:val="000000"/>
                <w:sz w:val="18"/>
                <w:szCs w:val="18"/>
                <w:lang w:val="en-US" w:eastAsia="pt-PT"/>
              </w:rPr>
            </w:pPr>
          </w:p>
        </w:tc>
        <w:tc>
          <w:tcPr>
            <w:tcW w:w="445" w:type="dxa"/>
            <w:noWrap/>
            <w:hideMark/>
          </w:tcPr>
          <w:p w14:paraId="0A52A97C" w14:textId="77777777" w:rsidR="003D1F45" w:rsidRPr="00101744" w:rsidRDefault="003D1F45" w:rsidP="00B60BB2">
            <w:pPr>
              <w:jc w:val="center"/>
              <w:rPr>
                <w:rFonts w:ascii="Arial" w:eastAsia="Times New Roman" w:hAnsi="Arial" w:cs="Arial"/>
                <w:sz w:val="18"/>
                <w:szCs w:val="18"/>
                <w:lang w:val="en-US" w:eastAsia="pt-PT"/>
              </w:rPr>
            </w:pPr>
          </w:p>
        </w:tc>
        <w:tc>
          <w:tcPr>
            <w:tcW w:w="1681" w:type="dxa"/>
            <w:noWrap/>
            <w:hideMark/>
          </w:tcPr>
          <w:p w14:paraId="203CABCD" w14:textId="77777777" w:rsidR="003D1F45" w:rsidRPr="00101744" w:rsidRDefault="003D1F45" w:rsidP="00B60BB2">
            <w:pPr>
              <w:rPr>
                <w:rFonts w:ascii="Arial" w:eastAsia="Times New Roman" w:hAnsi="Arial" w:cs="Arial"/>
                <w:sz w:val="18"/>
                <w:szCs w:val="18"/>
                <w:lang w:val="en-US" w:eastAsia="pt-PT"/>
              </w:rPr>
            </w:pPr>
          </w:p>
        </w:tc>
        <w:tc>
          <w:tcPr>
            <w:tcW w:w="1547" w:type="dxa"/>
            <w:noWrap/>
            <w:hideMark/>
          </w:tcPr>
          <w:p w14:paraId="5297A253" w14:textId="77777777" w:rsidR="003D1F45" w:rsidRPr="00101744" w:rsidRDefault="003D1F45" w:rsidP="00B60BB2">
            <w:pPr>
              <w:jc w:val="center"/>
              <w:rPr>
                <w:rFonts w:ascii="Arial" w:eastAsia="Times New Roman" w:hAnsi="Arial" w:cs="Arial"/>
                <w:sz w:val="18"/>
                <w:szCs w:val="18"/>
                <w:lang w:val="en-US" w:eastAsia="pt-PT"/>
              </w:rPr>
            </w:pPr>
          </w:p>
        </w:tc>
        <w:tc>
          <w:tcPr>
            <w:tcW w:w="1855" w:type="dxa"/>
            <w:noWrap/>
            <w:hideMark/>
          </w:tcPr>
          <w:p w14:paraId="1E3B359A" w14:textId="77777777" w:rsidR="003D1F45" w:rsidRPr="00101744" w:rsidRDefault="003D1F45" w:rsidP="00B60BB2">
            <w:pPr>
              <w:jc w:val="center"/>
              <w:rPr>
                <w:rFonts w:ascii="Arial" w:eastAsia="Times New Roman" w:hAnsi="Arial" w:cs="Arial"/>
                <w:sz w:val="18"/>
                <w:szCs w:val="18"/>
                <w:lang w:val="en-US" w:eastAsia="pt-PT"/>
              </w:rPr>
            </w:pPr>
          </w:p>
        </w:tc>
        <w:tc>
          <w:tcPr>
            <w:tcW w:w="717" w:type="dxa"/>
            <w:noWrap/>
            <w:hideMark/>
          </w:tcPr>
          <w:p w14:paraId="60841A8D" w14:textId="77777777" w:rsidR="003D1F45" w:rsidRPr="00101744" w:rsidRDefault="003D1F45" w:rsidP="00B60BB2">
            <w:pPr>
              <w:jc w:val="center"/>
              <w:rPr>
                <w:rFonts w:ascii="Arial" w:eastAsia="Times New Roman" w:hAnsi="Arial" w:cs="Arial"/>
                <w:sz w:val="18"/>
                <w:szCs w:val="18"/>
                <w:lang w:val="en-US" w:eastAsia="pt-PT"/>
              </w:rPr>
            </w:pPr>
          </w:p>
        </w:tc>
        <w:tc>
          <w:tcPr>
            <w:tcW w:w="1146" w:type="dxa"/>
            <w:noWrap/>
            <w:hideMark/>
          </w:tcPr>
          <w:p w14:paraId="46FB899C" w14:textId="77777777" w:rsidR="003D1F45" w:rsidRPr="00101744" w:rsidRDefault="003D1F45" w:rsidP="00B60BB2">
            <w:pPr>
              <w:jc w:val="center"/>
              <w:rPr>
                <w:rFonts w:ascii="Arial" w:eastAsia="Times New Roman" w:hAnsi="Arial" w:cs="Arial"/>
                <w:sz w:val="18"/>
                <w:szCs w:val="18"/>
                <w:lang w:val="en-US" w:eastAsia="pt-PT"/>
              </w:rPr>
            </w:pPr>
          </w:p>
        </w:tc>
      </w:tr>
      <w:tr w:rsidR="003D1F45" w:rsidRPr="00101744" w14:paraId="3E95F247" w14:textId="77777777" w:rsidTr="00B60BB2">
        <w:trPr>
          <w:trHeight w:val="300"/>
        </w:trPr>
        <w:tc>
          <w:tcPr>
            <w:tcW w:w="2269" w:type="dxa"/>
            <w:noWrap/>
            <w:hideMark/>
          </w:tcPr>
          <w:p w14:paraId="7E7D96C7" w14:textId="07A81CF2"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{"citationItems":[{"id":"ITEM-1","itemData":{"DOI":"10.1093/brain/awf094","ISBN":"0006-8950 (Print)\\r0006-8950 (Linking)","ISSN":"1460-2156","PMID":"11960895","abstract":"The first steps in the process of reading a printed word belong to the domain of visual object perception. They culminate in a representation of letter strings as an ordered set of abstract letter identities, a representation known as the Visual Word Form (VWF). Brain lesions in patients with pure alexia and functional imaging data suggest that the VWF is subtended by a restricted patch of left-hemispheric fusiform cortex, which is reproducibly activated during reading. In order to determine whether the operation of this Visual Word Form Area (VWFA) depends exclusively on the visual features of stimuli, or is influenced by language-dependent parameters, brain activations induced by words, consonant strings and chequerboards were compared in normal subjects using functional MRI (fMRI). Stimuli were presented in the left or right visual hemifield. The VWFA was identified in both a blocked-design experiment and an event-related experiment as a left-hemispheric inferotemporal area showing a stronger activation to alphabetic strings than to chequerboards, and invariant for the spatial location of stimuli. In both experiments, stronger activations of the VWFA to words than to strings of consonants were observed. Considering that the VWFA is equally activated by real words and by readable pseudowords, this result demonstrates that the VWFA is initially plastic and becomes attuned to the orthographic regularities that constrain letter combination during the acquisition of literacy. Additionally, the use of split-field stimulation shed some light on the cerebral bases of the classical right visual field (RVF) advantage in reading. A left occipital extrastriate area was found to be activated by RVF letter strings more than by chequerboards, while no symmetrical region was observed in the right hemisphere. Moreover, activations in the precuneus and the left thalamus were obs</w:instrText>
            </w:r>
            <w:r w:rsidR="00C14016" w:rsidRPr="00C14016">
              <w:rPr>
                <w:rFonts w:ascii="Arial" w:hAnsi="Arial" w:cs="Arial"/>
                <w:color w:val="000000"/>
                <w:sz w:val="18"/>
                <w:szCs w:val="18"/>
                <w:lang w:val="en-GB" w:eastAsia="pt-PT"/>
              </w:rPr>
              <w:instrText>erved when subjects were reading RVF versus left visual field (LVF) words, and are likely to reflect the attentional component of the RVF advantage.","author":[{"dropping-particle":"","family":"Cohen","given":"Laurent","non-dropping-particle":"","parse-names":false,"suffix":""},{"dropping-particle":"","family":"Lehéricy","given":"Stéphane","non-dropping-particle":"","parse-names":false,"suffix":""},{"dropping-particle":"","family":"Chochon","given":"Florence","non-dropping-particle":"","parse-names":false,"suffix":""},{"dropping-particle":"","family":"Lemer","given":"Cathy","non-dropping-particle":"","parse-names":false,"suffix":""},{"dropping-particle":"","family":"Rivaud","given":"Sophie","non-dropping-particle":"","parse-names":false,"suffix":""},{"dropping-particle":"","family":"Dehaene","given":"Stanislas","non-dropping-particle":"","parse-names":false,"suffix":""}],"container-title":"Brain","id":"ITEM-1","issue":"5","issued":{"date-parts":[["2002","5"]]},"page":"1054-1069","title":"Language</w:instrText>
            </w:r>
            <w:r w:rsidR="00C14016" w:rsidRPr="00C14016">
              <w:rPr>
                <w:rFonts w:ascii="Cambria Math" w:hAnsi="Cambria Math" w:cs="Cambria Math"/>
                <w:color w:val="000000"/>
                <w:sz w:val="18"/>
                <w:szCs w:val="18"/>
                <w:lang w:val="en-GB" w:eastAsia="pt-PT"/>
              </w:rPr>
              <w:instrText>‐</w:instrText>
            </w:r>
            <w:r w:rsidR="00C14016" w:rsidRPr="00C14016">
              <w:rPr>
                <w:rFonts w:ascii="Arial" w:hAnsi="Arial" w:cs="Arial"/>
                <w:color w:val="000000"/>
                <w:sz w:val="18"/>
                <w:szCs w:val="18"/>
                <w:lang w:val="en-GB" w:eastAsia="pt-PT"/>
              </w:rPr>
              <w:instrText>specific tuning of visual cortex? Functional properties of the Visual Word Form Area","type":"article-journal","volume":"125"},"uris":["http://www.mendeley.com/documents/?uuid=05349705-6960-3ddb-9344-8652ada95712"]}],"mendeley":{"formattedCitation":"(Cohen et al. 2002)","plainTextFormattedCitation":"(Cohen et al. 2002)","previouslyFormattedCitation":"&lt;sup&gt;2&lt;/sup&gt;"},"properties":{"noteIndex":0},"schema":"https://github.com/citation-style-language/schema/raw/master/csl-citation.json"}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(Cohen et al. 2002)</w:t>
            </w:r>
            <w:r w:rsidRPr="00101744">
              <w:rPr>
                <w:rFonts w:ascii="Arial" w:eastAsia="Times New Roman" w:hAnsi="Arial" w:cs="Arial"/>
                <w:color w:val="000000"/>
                <w:sz w:val="18"/>
                <w:szCs w:val="18"/>
                <w:lang w:val="en-US" w:eastAsia="pt-PT"/>
              </w:rPr>
              <w:fldChar w:fldCharType="end"/>
            </w:r>
          </w:p>
        </w:tc>
        <w:tc>
          <w:tcPr>
            <w:tcW w:w="709" w:type="dxa"/>
            <w:noWrap/>
            <w:hideMark/>
          </w:tcPr>
          <w:p w14:paraId="330E3A2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16</w:t>
            </w:r>
          </w:p>
        </w:tc>
        <w:tc>
          <w:tcPr>
            <w:tcW w:w="650" w:type="dxa"/>
            <w:noWrap/>
            <w:hideMark/>
          </w:tcPr>
          <w:p w14:paraId="43DA506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c>
          <w:tcPr>
            <w:tcW w:w="517" w:type="dxa"/>
            <w:noWrap/>
            <w:hideMark/>
          </w:tcPr>
          <w:p w14:paraId="294C200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13</w:t>
            </w:r>
          </w:p>
        </w:tc>
        <w:tc>
          <w:tcPr>
            <w:tcW w:w="767" w:type="dxa"/>
            <w:noWrap/>
            <w:hideMark/>
          </w:tcPr>
          <w:p w14:paraId="6876138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25</w:t>
            </w:r>
          </w:p>
        </w:tc>
        <w:tc>
          <w:tcPr>
            <w:tcW w:w="695" w:type="dxa"/>
            <w:noWrap/>
            <w:hideMark/>
          </w:tcPr>
          <w:p w14:paraId="14D8BBA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20-30</w:t>
            </w:r>
          </w:p>
        </w:tc>
        <w:tc>
          <w:tcPr>
            <w:tcW w:w="1907" w:type="dxa"/>
            <w:noWrap/>
            <w:hideMark/>
          </w:tcPr>
          <w:p w14:paraId="59A2B3D4"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words</w:t>
            </w:r>
          </w:p>
        </w:tc>
        <w:tc>
          <w:tcPr>
            <w:tcW w:w="445" w:type="dxa"/>
            <w:noWrap/>
            <w:hideMark/>
          </w:tcPr>
          <w:p w14:paraId="51D9A98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14</w:t>
            </w:r>
          </w:p>
        </w:tc>
        <w:tc>
          <w:tcPr>
            <w:tcW w:w="1681" w:type="dxa"/>
            <w:noWrap/>
            <w:hideMark/>
          </w:tcPr>
          <w:p w14:paraId="26496DE5"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1.5T </w:t>
            </w:r>
            <w:proofErr w:type="spellStart"/>
            <w:r w:rsidRPr="00101744">
              <w:rPr>
                <w:rFonts w:ascii="Arial" w:eastAsia="Times New Roman" w:hAnsi="Arial" w:cs="Arial"/>
                <w:color w:val="000000"/>
                <w:sz w:val="18"/>
                <w:szCs w:val="18"/>
                <w:lang w:val="en-US" w:eastAsia="pt-PT"/>
              </w:rPr>
              <w:t>Signa</w:t>
            </w:r>
            <w:proofErr w:type="spellEnd"/>
            <w:r w:rsidRPr="00101744">
              <w:rPr>
                <w:rFonts w:ascii="Arial" w:eastAsia="Times New Roman" w:hAnsi="Arial" w:cs="Arial"/>
                <w:color w:val="000000"/>
                <w:sz w:val="18"/>
                <w:szCs w:val="18"/>
                <w:lang w:val="en-US" w:eastAsia="pt-PT"/>
              </w:rPr>
              <w:t xml:space="preserve"> GE</w:t>
            </w:r>
          </w:p>
        </w:tc>
        <w:tc>
          <w:tcPr>
            <w:tcW w:w="1547" w:type="dxa"/>
            <w:noWrap/>
            <w:hideMark/>
          </w:tcPr>
          <w:p w14:paraId="6A09B97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SPM99b</w:t>
            </w:r>
          </w:p>
        </w:tc>
        <w:tc>
          <w:tcPr>
            <w:tcW w:w="1855" w:type="dxa"/>
            <w:noWrap/>
            <w:hideMark/>
          </w:tcPr>
          <w:p w14:paraId="121CEAD1"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voxelwise</w:t>
            </w:r>
            <w:proofErr w:type="spellEnd"/>
            <w:r w:rsidRPr="00101744">
              <w:rPr>
                <w:rFonts w:ascii="Arial" w:eastAsia="Times New Roman" w:hAnsi="Arial" w:cs="Arial"/>
                <w:color w:val="000000"/>
                <w:sz w:val="18"/>
                <w:szCs w:val="18"/>
                <w:lang w:val="en-US" w:eastAsia="pt-PT"/>
              </w:rPr>
              <w:t xml:space="preserve"> threshold p&lt;0.01</w:t>
            </w:r>
          </w:p>
        </w:tc>
        <w:tc>
          <w:tcPr>
            <w:tcW w:w="717" w:type="dxa"/>
            <w:noWrap/>
            <w:hideMark/>
          </w:tcPr>
          <w:p w14:paraId="7A690C9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3000</w:t>
            </w:r>
          </w:p>
        </w:tc>
        <w:tc>
          <w:tcPr>
            <w:tcW w:w="1146" w:type="dxa"/>
            <w:noWrap/>
            <w:hideMark/>
          </w:tcPr>
          <w:p w14:paraId="2B14232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3.75</w:t>
            </w:r>
          </w:p>
        </w:tc>
      </w:tr>
      <w:tr w:rsidR="003D1F45" w:rsidRPr="00101744" w14:paraId="6350461C" w14:textId="77777777" w:rsidTr="00B60BB2">
        <w:trPr>
          <w:trHeight w:val="300"/>
        </w:trPr>
        <w:tc>
          <w:tcPr>
            <w:tcW w:w="2269" w:type="dxa"/>
            <w:noWrap/>
            <w:vAlign w:val="center"/>
            <w:hideMark/>
          </w:tcPr>
          <w:p w14:paraId="197C567A" w14:textId="3029085E"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{"citationItems":[{"id":"ITEM-1","itemData":{"DOI":"10.1006/brln.2000.2433","ISSN":"0093934X","PMID":"11247649","abstract":"We describe two studies that used repetition priming paradigms to investigate brain activity during the reading of single words. Functional magnetic resonance images were collected during a visual lexical decision task in which nonword stimuli were manipulated with regard to phonological properties and compared to genuine English words. We observed a region in left-hemisphere primary auditory cortex linked to a repetition priming effect. The priming effect activity was observed only for stimuli that sound like known words; moreover, this region was sensitive to strategic task differences. Thus, a brain region involved in the most basic aspects of auditory processing appears to be engaged in reading even when there is no environmental oral or auditory component.","author":[{"dropping-particle":"","family":"Haist","given":"Frank","non-dropping-particle":"","parse-names":false,"suffix":""},{"dropping-particle":"","family":"Song","given":"Allen W.","non-dropping-particle":"","parse-names":false,"suffix":""},{"dropping-particle":"","family":"Wild","given":"Krista","non-dropping-particle":"","parse-names":false,"suffix":""},{"dropping-particle":"","family":"Faber","given":"Tracy L.","non-dropping-particle":"","parse-names":false</w:instrText>
            </w:r>
            <w:r w:rsidR="00C14016">
              <w:rPr>
                <w:rFonts w:ascii="Arial" w:hAnsi="Arial" w:cs="Arial"/>
                <w:color w:val="000000"/>
                <w:sz w:val="18"/>
                <w:szCs w:val="18"/>
                <w:lang w:eastAsia="pt-PT"/>
              </w:rPr>
              <w:instrText>,"suffix":""},{"dropping-particle":"","family":"Popp","given":"Carol A.","non-dropping-particle":"","parse-names":false,"suffix":""},{"dropping-particle":"","family":"Morris","given":"Robin D.","non-dropping-particle":"","parse-names":false,"suffix":""}],"container-title":"Brain and Language","id":"ITEM-1","issue":"3","issued":{"date-parts":[["2001","3"]]},"page":"340-350","title":"Linking Sight and Sound: fMRI Evidence of Primary Auditory Cortex Activation during Visual Word Recognition","type":"article-journal","volume":"76"},"uris":["http://www.mendeley.com/documents/?uuid=87390d84-b58b-3fa5-b8da-4382be708428"]}],"mendeley":{"formattedCitation":"(Haist et al. 2001)","plainTextFormattedCitation":"(Haist et al. 2001)","previouslyFormattedCitation":"&lt;sup&gt;3&lt;/sup&gt;"},"properties":{"noteIndex":0},"schema":"https://github.com/citation-style-language/schema/raw/master/csl-citation.json"}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(Haist et al. 2001)</w:t>
            </w:r>
            <w:r w:rsidRPr="00101744">
              <w:rPr>
                <w:rFonts w:ascii="Arial" w:eastAsia="Times New Roman" w:hAnsi="Arial" w:cs="Arial"/>
                <w:color w:val="000000"/>
                <w:sz w:val="18"/>
                <w:szCs w:val="18"/>
                <w:lang w:val="en-US" w:eastAsia="pt-PT"/>
              </w:rPr>
              <w:fldChar w:fldCharType="end"/>
            </w:r>
          </w:p>
        </w:tc>
        <w:tc>
          <w:tcPr>
            <w:tcW w:w="709" w:type="dxa"/>
            <w:noWrap/>
            <w:hideMark/>
          </w:tcPr>
          <w:p w14:paraId="520E412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w:t>
            </w:r>
          </w:p>
        </w:tc>
        <w:tc>
          <w:tcPr>
            <w:tcW w:w="650" w:type="dxa"/>
            <w:noWrap/>
            <w:hideMark/>
          </w:tcPr>
          <w:p w14:paraId="07E5CC1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w:t>
            </w:r>
          </w:p>
        </w:tc>
        <w:tc>
          <w:tcPr>
            <w:tcW w:w="517" w:type="dxa"/>
            <w:noWrap/>
            <w:hideMark/>
          </w:tcPr>
          <w:p w14:paraId="15D4135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9</w:t>
            </w:r>
          </w:p>
        </w:tc>
        <w:tc>
          <w:tcPr>
            <w:tcW w:w="767" w:type="dxa"/>
            <w:noWrap/>
            <w:hideMark/>
          </w:tcPr>
          <w:p w14:paraId="03F6707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26</w:t>
            </w:r>
          </w:p>
        </w:tc>
        <w:tc>
          <w:tcPr>
            <w:tcW w:w="695" w:type="dxa"/>
            <w:noWrap/>
            <w:hideMark/>
          </w:tcPr>
          <w:p w14:paraId="20450469"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907" w:type="dxa"/>
            <w:noWrap/>
            <w:hideMark/>
          </w:tcPr>
          <w:p w14:paraId="12C6E3B3"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words</w:t>
            </w:r>
          </w:p>
        </w:tc>
        <w:tc>
          <w:tcPr>
            <w:tcW w:w="445" w:type="dxa"/>
            <w:noWrap/>
            <w:hideMark/>
          </w:tcPr>
          <w:p w14:paraId="7319FC4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7</w:t>
            </w:r>
          </w:p>
        </w:tc>
        <w:tc>
          <w:tcPr>
            <w:tcW w:w="1681" w:type="dxa"/>
            <w:noWrap/>
            <w:hideMark/>
          </w:tcPr>
          <w:p w14:paraId="46F1119B"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1.5T </w:t>
            </w:r>
            <w:proofErr w:type="spellStart"/>
            <w:r w:rsidRPr="00101744">
              <w:rPr>
                <w:rFonts w:ascii="Arial" w:eastAsia="Times New Roman" w:hAnsi="Arial" w:cs="Arial"/>
                <w:color w:val="000000"/>
                <w:sz w:val="18"/>
                <w:szCs w:val="18"/>
                <w:lang w:val="en-US" w:eastAsia="pt-PT"/>
              </w:rPr>
              <w:t>Signa</w:t>
            </w:r>
            <w:proofErr w:type="spellEnd"/>
            <w:r w:rsidRPr="00101744">
              <w:rPr>
                <w:rFonts w:ascii="Arial" w:eastAsia="Times New Roman" w:hAnsi="Arial" w:cs="Arial"/>
                <w:color w:val="000000"/>
                <w:sz w:val="18"/>
                <w:szCs w:val="18"/>
                <w:lang w:val="en-US" w:eastAsia="pt-PT"/>
              </w:rPr>
              <w:t xml:space="preserve"> GE</w:t>
            </w:r>
          </w:p>
        </w:tc>
        <w:tc>
          <w:tcPr>
            <w:tcW w:w="1547" w:type="dxa"/>
            <w:noWrap/>
            <w:hideMark/>
          </w:tcPr>
          <w:p w14:paraId="293D360F"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855" w:type="dxa"/>
            <w:noWrap/>
            <w:hideMark/>
          </w:tcPr>
          <w:p w14:paraId="2C4FB39E"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Pbonferroni</w:t>
            </w:r>
            <w:proofErr w:type="spellEnd"/>
            <w:r w:rsidRPr="00101744">
              <w:rPr>
                <w:rFonts w:ascii="Arial" w:eastAsia="Times New Roman" w:hAnsi="Arial" w:cs="Arial"/>
                <w:color w:val="000000"/>
                <w:sz w:val="18"/>
                <w:szCs w:val="18"/>
                <w:lang w:val="en-US" w:eastAsia="pt-PT"/>
              </w:rPr>
              <w:t xml:space="preserve"> &lt;0.05</w:t>
            </w:r>
          </w:p>
        </w:tc>
        <w:tc>
          <w:tcPr>
            <w:tcW w:w="717" w:type="dxa"/>
            <w:noWrap/>
            <w:hideMark/>
          </w:tcPr>
          <w:p w14:paraId="08AA89E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3000</w:t>
            </w:r>
          </w:p>
        </w:tc>
        <w:tc>
          <w:tcPr>
            <w:tcW w:w="1146" w:type="dxa"/>
            <w:noWrap/>
            <w:hideMark/>
          </w:tcPr>
          <w:p w14:paraId="1178D35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3.75</w:t>
            </w:r>
          </w:p>
        </w:tc>
      </w:tr>
      <w:tr w:rsidR="003D1F45" w:rsidRPr="00101744" w14:paraId="4D1B5CCA" w14:textId="77777777" w:rsidTr="00B60BB2">
        <w:trPr>
          <w:trHeight w:val="300"/>
        </w:trPr>
        <w:tc>
          <w:tcPr>
            <w:tcW w:w="2269" w:type="dxa"/>
            <w:noWrap/>
            <w:vAlign w:val="center"/>
            <w:hideMark/>
          </w:tcPr>
          <w:p w14:paraId="199E7F09" w14:textId="424F522F"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{"citationItems":[{"id":"ITEM-1","itemData":{"DOI":"10.1016/j.neuroimage.2006.12.046","ISSN":"10538119","PMID":"17329129","abstract":"Without special education, early deprivation of auditory speech input, hinders the development of phonological representations and may alter the neural mechanisms of reading. By using fMRI during lexical and rhyming decision tasks, we compared in hearing and pre-lingually deaf subjects the neural activity in functional regions of interest (ROIs) engaged in reading. The results show in deaf readers significantly higher activation in the ROIs relevant to the grapho-phonological route, but also in the posterior medial frontal cortex (pMFC) and the right inferior frontal gyrus (IFG). These adjustments may be interpreted within the dual route model of reading as an alternative strategy, which gives priority to rule-based letter-to-sound conversion. Activation in the right IFG would account for compensation mechanisms based on phonological recoding and inner speech while activation in the posterior medial frontal cortex (pMFC) may relate to the cognitive effort called for by the alternative strategy. Our data suggest that the neural mechanisms of reading are shaped by the auditory experience of speech.","author":[{"dropping-particle":"","family":"Aparicio","given":"Mario","non-dropping-particle":"","parse-names":false,"suffix":""},{"dropping-particle":"","family":"Gounot","given":"Daniel","non-dropping-particle":"","parse-names":false,"suffix":""},{"dropping-particle":"","family":"Demont","given":"Elisabeth","non-dropping-particle":"","parse-names":false,"suffix":""},{"dropping-particle":"","family":"Metz-Lutz","given":"Marie-Noëlle","non-dropping-particle":"","parse-names":false,"suffix":""}],"container-title":"NeuroImage","id":"ITEM-1","issue":"3","issued":{"date-parts":[["2007","4","15"]]},"page":"1303-1316","title":"Phonological processing in relation to reading: An fMRI study in deaf readers","type":"article-journal","volume":"35"},"uris":["http://www.mendeley.com/documents/?uuid=b284160d-1247-3efe-aa04-65da8a18ce56"]}],"mendeley":{"formattedCitation":"(Aparicio et al. 2007)","plainTextFormattedCitation":"(Aparicio et al. 2007)","previouslyFormattedCitation":"&lt;sup&gt;4&lt;/sup&gt;"},"properties":{"noteIndex":0},"schema":"https://github.com/citation-style-language/schema/raw/master/csl-citation.json"}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(Aparicio et al. 2007)</w:t>
            </w:r>
            <w:r w:rsidRPr="00101744">
              <w:rPr>
                <w:rFonts w:ascii="Arial" w:eastAsia="Times New Roman" w:hAnsi="Arial" w:cs="Arial"/>
                <w:color w:val="000000"/>
                <w:sz w:val="18"/>
                <w:szCs w:val="18"/>
                <w:lang w:val="en-US" w:eastAsia="pt-PT"/>
              </w:rPr>
              <w:fldChar w:fldCharType="end"/>
            </w:r>
          </w:p>
        </w:tc>
        <w:tc>
          <w:tcPr>
            <w:tcW w:w="709" w:type="dxa"/>
            <w:noWrap/>
            <w:hideMark/>
          </w:tcPr>
          <w:p w14:paraId="707C2E1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670146E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w:t>
            </w:r>
          </w:p>
        </w:tc>
        <w:tc>
          <w:tcPr>
            <w:tcW w:w="517" w:type="dxa"/>
            <w:noWrap/>
            <w:hideMark/>
          </w:tcPr>
          <w:p w14:paraId="3709F33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w:t>
            </w:r>
          </w:p>
        </w:tc>
        <w:tc>
          <w:tcPr>
            <w:tcW w:w="767" w:type="dxa"/>
            <w:noWrap/>
            <w:hideMark/>
          </w:tcPr>
          <w:p w14:paraId="13C57DD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34</w:t>
            </w:r>
          </w:p>
        </w:tc>
        <w:tc>
          <w:tcPr>
            <w:tcW w:w="695" w:type="dxa"/>
            <w:noWrap/>
            <w:hideMark/>
          </w:tcPr>
          <w:p w14:paraId="1A7AA08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20-49</w:t>
            </w:r>
          </w:p>
        </w:tc>
        <w:tc>
          <w:tcPr>
            <w:tcW w:w="1907" w:type="dxa"/>
            <w:noWrap/>
            <w:hideMark/>
          </w:tcPr>
          <w:p w14:paraId="6D6CACE2"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Reading words and </w:t>
            </w:r>
            <w:proofErr w:type="spellStart"/>
            <w:r w:rsidRPr="00101744">
              <w:rPr>
                <w:rFonts w:ascii="Arial" w:eastAsia="Times New Roman" w:hAnsi="Arial" w:cs="Arial"/>
                <w:color w:val="000000"/>
                <w:sz w:val="18"/>
                <w:szCs w:val="18"/>
                <w:lang w:val="en-US" w:eastAsia="pt-PT"/>
              </w:rPr>
              <w:t>pseudowords</w:t>
            </w:r>
            <w:proofErr w:type="spellEnd"/>
          </w:p>
        </w:tc>
        <w:tc>
          <w:tcPr>
            <w:tcW w:w="445" w:type="dxa"/>
            <w:noWrap/>
            <w:hideMark/>
          </w:tcPr>
          <w:p w14:paraId="7D315E7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1681" w:type="dxa"/>
            <w:noWrap/>
            <w:hideMark/>
          </w:tcPr>
          <w:p w14:paraId="6A032CD7"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2T S200 Bruker</w:t>
            </w:r>
          </w:p>
        </w:tc>
        <w:tc>
          <w:tcPr>
            <w:tcW w:w="1547" w:type="dxa"/>
            <w:noWrap/>
            <w:hideMark/>
          </w:tcPr>
          <w:p w14:paraId="16DC13F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13F5C43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P&lt;0.001 corrected at the cluster level</w:t>
            </w:r>
          </w:p>
        </w:tc>
        <w:tc>
          <w:tcPr>
            <w:tcW w:w="717" w:type="dxa"/>
            <w:noWrap/>
            <w:hideMark/>
          </w:tcPr>
          <w:p w14:paraId="5676412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5000</w:t>
            </w:r>
          </w:p>
        </w:tc>
        <w:tc>
          <w:tcPr>
            <w:tcW w:w="1146" w:type="dxa"/>
            <w:noWrap/>
            <w:hideMark/>
          </w:tcPr>
          <w:p w14:paraId="11ADA18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w:t>
            </w:r>
          </w:p>
        </w:tc>
      </w:tr>
      <w:tr w:rsidR="003D1F45" w:rsidRPr="00101744" w14:paraId="1D6F2846" w14:textId="77777777" w:rsidTr="00B60BB2">
        <w:trPr>
          <w:trHeight w:val="300"/>
        </w:trPr>
        <w:tc>
          <w:tcPr>
            <w:tcW w:w="2269" w:type="dxa"/>
            <w:noWrap/>
            <w:vAlign w:val="center"/>
            <w:hideMark/>
          </w:tcPr>
          <w:p w14:paraId="2DC37E8F" w14:textId="212C9A2D"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{"citationItems":[{"id":"ITEM-1","itemData":{"DOI":"10.1002/hbm.20356","ISSN":"10659471","PMID":"17274024","abstract":"Native English speakers with no knowledge of Chinese were trained on 60 Chinese characters according to one of three mapping conditions: orthography to pronunciation and meaning (P + M), orthography to pronunciation (P), and orthography to meaning (M). Following the training, fMRI scans taken during passive viewing of Chinese characters showed activation in brain regions that partially overlap the regions found in studies of skilled Chinese readers, but typically not found in alphabetic readers. Areas include bilateral middle frontal (BA 9), right occipital (BA 18/19), and fusiform (BA 37) regions. The activation pattern of Chinese characters was similar across the three groups. However, peak location was different in the left middle frontal region between groups. Direct contrasts between the groups also revealed stronger activation of left middle frontal in the P + M group. The results suggest that learners acquired skill in reading Chinese characters using a brain network similar to that used by Chinese native speakers. The results are consistent with the system accommodation hypothesis: The brain's reading network accommodates to features of an acquired writing system.","author":[{"dropping-particle":"","family":"Liu","given":"Ying","non-dropping-particle":"","parse-names":false,"suffix":""},{"dropping-particle":"","family":"Dunlap","given":"Susan","non-dropping-particle":"","parse-names":false,"suffix":""},{"dropping-particle":"","family":"Fiez","given":"Julie","non-dropping-particle":"","parse-names":false,"suffix":""},{"dropping-particle":"","family":"Perfetti","given":"Charles","non-dropping-particle":"","parse-names":false,"suffix":""}],"container-title":"Human Brain Mapping","id":"ITEM-1","issue":"11","issued":{"date-parts":[["2007","11"]]},"page":"1223-1234","title":"Evidence for neural accommodation to a writing system following learning","type":"article-journal","volume":"28"},"uris":["http://www.mendeley.com/documents/?uuid=3a3e5df2-0d23-3ba7-88fa-a5550f98bf69"]}],"mendeley":{"formattedCitation":"(Y. Liu et al. 2007)","plainTextFormattedCitation":"(Y. Liu et al. 2007)","previouslyFormattedCitation":"&lt;sup&gt;5&lt;/sup&gt;"},"properties":{"noteIndex":0},"schema":"https://github.com/citation-style-language/schema/raw/master/csl-citation.json"}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(Y. Liu et al. 2007)</w:t>
            </w:r>
            <w:r w:rsidRPr="00101744">
              <w:rPr>
                <w:rFonts w:ascii="Arial" w:eastAsia="Times New Roman" w:hAnsi="Arial" w:cs="Arial"/>
                <w:color w:val="000000"/>
                <w:sz w:val="18"/>
                <w:szCs w:val="18"/>
                <w:lang w:val="en-US" w:eastAsia="pt-PT"/>
              </w:rPr>
              <w:fldChar w:fldCharType="end"/>
            </w:r>
          </w:p>
        </w:tc>
        <w:tc>
          <w:tcPr>
            <w:tcW w:w="709" w:type="dxa"/>
            <w:noWrap/>
            <w:hideMark/>
          </w:tcPr>
          <w:p w14:paraId="3FDB113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23</w:t>
            </w:r>
          </w:p>
        </w:tc>
        <w:tc>
          <w:tcPr>
            <w:tcW w:w="650" w:type="dxa"/>
            <w:noWrap/>
            <w:hideMark/>
          </w:tcPr>
          <w:p w14:paraId="52310A1B"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517" w:type="dxa"/>
            <w:noWrap/>
            <w:hideMark/>
          </w:tcPr>
          <w:p w14:paraId="3E5D8972"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767" w:type="dxa"/>
            <w:noWrap/>
            <w:hideMark/>
          </w:tcPr>
          <w:p w14:paraId="256EB9E0"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95" w:type="dxa"/>
            <w:noWrap/>
            <w:hideMark/>
          </w:tcPr>
          <w:p w14:paraId="23DD8996"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907" w:type="dxa"/>
            <w:noWrap/>
            <w:hideMark/>
          </w:tcPr>
          <w:p w14:paraId="04F416B6"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Passive Reading</w:t>
            </w:r>
          </w:p>
        </w:tc>
        <w:tc>
          <w:tcPr>
            <w:tcW w:w="445" w:type="dxa"/>
            <w:noWrap/>
            <w:hideMark/>
          </w:tcPr>
          <w:p w14:paraId="2318081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28</w:t>
            </w:r>
          </w:p>
        </w:tc>
        <w:tc>
          <w:tcPr>
            <w:tcW w:w="1681" w:type="dxa"/>
            <w:noWrap/>
            <w:hideMark/>
          </w:tcPr>
          <w:p w14:paraId="6BFAB770"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3T Siemens Allegro</w:t>
            </w:r>
          </w:p>
        </w:tc>
        <w:tc>
          <w:tcPr>
            <w:tcW w:w="1547" w:type="dxa"/>
            <w:noWrap/>
            <w:hideMark/>
          </w:tcPr>
          <w:p w14:paraId="0C5C2B2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AFNI</w:t>
            </w:r>
          </w:p>
        </w:tc>
        <w:tc>
          <w:tcPr>
            <w:tcW w:w="1855" w:type="dxa"/>
            <w:noWrap/>
            <w:hideMark/>
          </w:tcPr>
          <w:p w14:paraId="46F0BE4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level of P &lt; 0.005.</w:t>
            </w:r>
          </w:p>
        </w:tc>
        <w:tc>
          <w:tcPr>
            <w:tcW w:w="717" w:type="dxa"/>
            <w:noWrap/>
            <w:hideMark/>
          </w:tcPr>
          <w:p w14:paraId="1CBF8ED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6" w:type="dxa"/>
            <w:noWrap/>
            <w:hideMark/>
          </w:tcPr>
          <w:p w14:paraId="7BD7B60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3.3</w:t>
            </w:r>
          </w:p>
        </w:tc>
      </w:tr>
      <w:tr w:rsidR="003D1F45" w:rsidRPr="00101744" w14:paraId="2BE66EA4" w14:textId="77777777" w:rsidTr="00B60BB2">
        <w:trPr>
          <w:trHeight w:val="300"/>
        </w:trPr>
        <w:tc>
          <w:tcPr>
            <w:tcW w:w="2269" w:type="dxa"/>
            <w:noWrap/>
            <w:vAlign w:val="center"/>
            <w:hideMark/>
          </w:tcPr>
          <w:p w14:paraId="4C68D77A" w14:textId="24924039"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{"citationItems":[{"id":"ITEM-1","itemData":{"DOI":"10.1016/j.brainres.2006.06.099","ISSN":"00068993","PMID":"16934234","abstract":"We report the neuropsychological profile and the pattern of brain activity during reading tasks in a sample of familial dyslexics. We studied our subjects with an in-depth neuropsychological assessment and with functional neuroimaging (fMRI) during word and pseudoword reading and false font string observations (baseline condition). The neuropsychological assessment revealed that familial dyslexia, in both persistent and compensated forms, is often associated with deficits in verbal short-term memory, phonological awareness and automatization abilities. The functional results showed a lack of activation in the posterior areas of the reading network. This study, together with the previously published VBM study (Brambati, S.M., Termine, C., Ruffino, M., Stella, G., Fazio, F., Cappa, S.F. and Perani, D., Regional reductions of gray matter volume in familial dyslexia, Neurology, 63 (2004) 742-5), provides a multiple modality evaluation of familial dyslexia. The neuropsychological assessment showed cognitive deficits associated with dyslexia that persist also in subjects with compensated reading deficit. Both the anatomical and the functional study point out a deficit in the posterior areas of the reading network.","author":[{"dropping-particle":"","family":"Brambati","given":"Simona Maria","non-dropping-particle":"</w:instrText>
            </w:r>
            <w:r w:rsidR="00C14016" w:rsidRPr="00C14016">
              <w:rPr>
                <w:rFonts w:ascii="Arial" w:hAnsi="Arial" w:cs="Arial"/>
                <w:color w:val="000000"/>
                <w:sz w:val="18"/>
                <w:szCs w:val="18"/>
                <w:lang w:val="en-GB" w:eastAsia="pt-PT"/>
              </w:rPr>
              <w:instrText>","parse-names":false,"suffix":""},{"dropping-particle":"","family":"Termine","given":"Cristiano","non-dropping-particle":"","parse-names":false,"suffix":""},{"dropping-particle":"","family":"Ruffino","given":"Milena","non-dropping-particle":"","parse-names":false,"suffix":""},{"dropping-particle":"","family":"Danna","given":"Massimo","non-dropping-particle":"","parse-names":false,"suffix":""},{"dropping-particle":"","family":"Lanzi","given":"Giovanni","non-dropping-particle":"","parse-names":false,"suffix":""},{"dropping-particle":"","family":"Stella","given":"Giacomo","non-dropping-particle":"","parse-names":false,"suffix":""},{"dropping-particle":"","family":"Cappa","given":"Stefano Francesco","non-dropping-particle":"","parse-names":false,"suffix":""},{"dropping-particle":"","family":"Perani","given":"Daniela","non-dropping-particle":"","parse-names":false,"suffix":""}],"container-title":"Brain Research","id":"ITEM-1","issue":"1","issued":{"date-parts":[["2006","10","3"]]},"page":"174-185","title":"Neuropsychological deficits and neural dysfunction in familial dyslexia","type":"article-journal","volume":"1113"},"uris":["http://www.mendeley.com/documents/?uuid=ae38e1d3-e672-3e97-8ff0-bcbdc6be4f79"]}],"mendeley":{"formattedCitation":"(Brambati et al. 2006)","plainTextFormattedCitation":"(Brambati et al. 2006)","previouslyFormattedCitation":"&lt;sup&gt;6&lt;/sup&gt;"},"properties":{"noteIndex":0},"schema":"https://github.com/citation-style-language/schema/raw/master/csl-citation.json"}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(Brambati et al. 2006)</w:t>
            </w:r>
            <w:r w:rsidRPr="00101744">
              <w:rPr>
                <w:rFonts w:ascii="Arial" w:eastAsia="Times New Roman" w:hAnsi="Arial" w:cs="Arial"/>
                <w:color w:val="000000"/>
                <w:sz w:val="18"/>
                <w:szCs w:val="18"/>
                <w:lang w:val="en-US" w:eastAsia="pt-PT"/>
              </w:rPr>
              <w:fldChar w:fldCharType="end"/>
            </w:r>
          </w:p>
        </w:tc>
        <w:tc>
          <w:tcPr>
            <w:tcW w:w="709" w:type="dxa"/>
            <w:noWrap/>
            <w:hideMark/>
          </w:tcPr>
          <w:p w14:paraId="6D1F393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11</w:t>
            </w:r>
          </w:p>
        </w:tc>
        <w:tc>
          <w:tcPr>
            <w:tcW w:w="650" w:type="dxa"/>
            <w:noWrap/>
            <w:hideMark/>
          </w:tcPr>
          <w:p w14:paraId="61E1C66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w:t>
            </w:r>
          </w:p>
        </w:tc>
        <w:tc>
          <w:tcPr>
            <w:tcW w:w="517" w:type="dxa"/>
            <w:noWrap/>
            <w:hideMark/>
          </w:tcPr>
          <w:p w14:paraId="2D85EAF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w:t>
            </w:r>
          </w:p>
        </w:tc>
        <w:tc>
          <w:tcPr>
            <w:tcW w:w="767" w:type="dxa"/>
            <w:noWrap/>
            <w:hideMark/>
          </w:tcPr>
          <w:p w14:paraId="0592BA8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28</w:t>
            </w:r>
          </w:p>
        </w:tc>
        <w:tc>
          <w:tcPr>
            <w:tcW w:w="695" w:type="dxa"/>
            <w:noWrap/>
            <w:hideMark/>
          </w:tcPr>
          <w:p w14:paraId="690A8F8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14-55</w:t>
            </w:r>
          </w:p>
        </w:tc>
        <w:tc>
          <w:tcPr>
            <w:tcW w:w="1907" w:type="dxa"/>
            <w:noWrap/>
            <w:hideMark/>
          </w:tcPr>
          <w:p w14:paraId="5530261F"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w:t>
            </w:r>
          </w:p>
        </w:tc>
        <w:tc>
          <w:tcPr>
            <w:tcW w:w="445" w:type="dxa"/>
            <w:noWrap/>
            <w:hideMark/>
          </w:tcPr>
          <w:p w14:paraId="3333606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82</w:t>
            </w:r>
          </w:p>
        </w:tc>
        <w:tc>
          <w:tcPr>
            <w:tcW w:w="1681" w:type="dxa"/>
            <w:noWrap/>
            <w:hideMark/>
          </w:tcPr>
          <w:p w14:paraId="55074EC0"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1.5T Horizon GE</w:t>
            </w:r>
          </w:p>
        </w:tc>
        <w:tc>
          <w:tcPr>
            <w:tcW w:w="1547" w:type="dxa"/>
            <w:noWrap/>
            <w:hideMark/>
          </w:tcPr>
          <w:p w14:paraId="1465001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SPM2</w:t>
            </w:r>
          </w:p>
        </w:tc>
        <w:tc>
          <w:tcPr>
            <w:tcW w:w="1855" w:type="dxa"/>
            <w:noWrap/>
            <w:hideMark/>
          </w:tcPr>
          <w:p w14:paraId="01C0E16D"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voxelwise</w:t>
            </w:r>
            <w:proofErr w:type="spellEnd"/>
            <w:r w:rsidRPr="00101744">
              <w:rPr>
                <w:rFonts w:ascii="Arial" w:eastAsia="Times New Roman" w:hAnsi="Arial" w:cs="Arial"/>
                <w:color w:val="000000"/>
                <w:sz w:val="18"/>
                <w:szCs w:val="18"/>
                <w:lang w:val="en-US" w:eastAsia="pt-PT"/>
              </w:rPr>
              <w:t xml:space="preserve"> threshold p&lt;0.005</w:t>
            </w:r>
          </w:p>
        </w:tc>
        <w:tc>
          <w:tcPr>
            <w:tcW w:w="717" w:type="dxa"/>
            <w:noWrap/>
            <w:hideMark/>
          </w:tcPr>
          <w:p w14:paraId="5F94C42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3000</w:t>
            </w:r>
          </w:p>
        </w:tc>
        <w:tc>
          <w:tcPr>
            <w:tcW w:w="1146" w:type="dxa"/>
            <w:noWrap/>
            <w:hideMark/>
          </w:tcPr>
          <w:p w14:paraId="6934DBF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r>
      <w:tr w:rsidR="003D1F45" w:rsidRPr="00101744" w14:paraId="52941755" w14:textId="77777777" w:rsidTr="00B60BB2">
        <w:trPr>
          <w:trHeight w:val="300"/>
        </w:trPr>
        <w:tc>
          <w:tcPr>
            <w:tcW w:w="2269" w:type="dxa"/>
            <w:noWrap/>
            <w:vAlign w:val="center"/>
            <w:hideMark/>
          </w:tcPr>
          <w:p w14:paraId="422F44FF" w14:textId="011F0CD5"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{"citationItems":[{"id":"ITEM-1","itemData":{"DOI":"10.1016/j.brainres.2006.09.088","ISSN":"00068993","PMID":"17092490","abstract":"The understanding of sarcasm reflects a complex process, which involves recognizing the beliefs of the speaker. There is a clear association between deficits in mentalizing, which is the ability to understand other people's behavior in terms of their mental state, and the understanding of sarcasm in individuals with autistic spectrum disorders. This suggests that mentalizing is important in pragmatic non-literal language comprehension. To highlight the neural substrates of sarcasm, 20 normal adult volunteers underwent functional magnetic-resonance imaging. We used scenario-reading tasks, in which sentences describing a certain situation were presented, followed by the protagonist's comments regarding that situation. Depending on the situation, the semantic content of the comments was classified as sarcastic, non-sarcastic, or contextually unconnected. As the combination of the first and second sentences represented discourse-level information that was not encoded in the individual sentences, sarcasm detection was represented as the differential activation induced by the second sentences. Sarcasm detection activated the left temporal pole, the superior temporal sulcus, the medial prefrontal cortex, and the inferior fronta</w:instrText>
            </w:r>
            <w:r w:rsidR="00C14016">
              <w:rPr>
                <w:rFonts w:ascii="Arial" w:hAnsi="Arial" w:cs="Arial"/>
                <w:color w:val="000000"/>
                <w:sz w:val="18"/>
                <w:szCs w:val="18"/>
                <w:lang w:eastAsia="pt-PT"/>
              </w:rPr>
              <w:instrText>l gyrus (Brodmann's area [BA] 47). The left BA 47 was activated more prominently by sarcasm detection than by the first sentence. These findings indicate that the detection of sarcasm recruits the medial prefrontal cortex, which is part of the mentalizing system, as well as the neural substrates involved in reading sentences. The left BA 47 might therefore be where mentalizing and language processes interact during sarcasm detection.","author":[{"dropping-particle":"","family":"Uchiyama","given":"Hitoshi","non-dropping-particle":"","parse-names":false,"suffix":""},{"dropping-particle":"","family":"Seki","given":"Ayumi","non-dropping-particle":"","parse-names":false,"suffix":""},{"dropping-particle":"","family":"Kageyama","given":"Hiroko","non-dropping-particle":"","parse-names":false,"suffix":""},{"dropping-particle":"","family":"Saito","given":"Daisuke N.","non-dropping-particle":"","parse-names":false,"suffix":""},{"dropping-particle":"","family":"Koeda","given":"Tatsuya","non-dropping-particle":"","parse-names":false,"suffix":""},{"dropping-particle":"","family":"Ohno","given":"Kousaku","non-dropping-particle":"","parse-names":false,"suffix":""},{"dropping-particle":"","family":"Sadato","given":"Norihiro","non-dropping-particle":"","parse-names":false,"suffix":""}],"container-title":"Brain Research","id":"ITEM-1","issue":"1","issued":{"date-parts":[["2006","12","8"]]},"page":"100-110","title":"Neural substrates of sarcasm: A functional magnetic-resonance imaging study","type":"article-journal","volume":"1124"},"uris":["http://www.mendeley.com/documents/?uuid=8939243d-2482-30ef-b271-b08302523699"]}],"mendeley":{"formattedCitation":"(Uchiyama et al. 2006)","plainTextFormattedCitation":"(Uchiyama et al. 2006)","previouslyFormattedCitation":"&lt;sup&gt;7&lt;/sup&gt;"},"properties":{"noteIndex":0},"schema":"https://github.com/citation-style-language/schema/raw/master/csl-citation.json"}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(Uchiyama et al. 2006)</w:t>
            </w:r>
            <w:r w:rsidRPr="00101744">
              <w:rPr>
                <w:rFonts w:ascii="Arial" w:eastAsia="Times New Roman" w:hAnsi="Arial" w:cs="Arial"/>
                <w:color w:val="000000"/>
                <w:sz w:val="18"/>
                <w:szCs w:val="18"/>
                <w:lang w:val="en-US" w:eastAsia="pt-PT"/>
              </w:rPr>
              <w:fldChar w:fldCharType="end"/>
            </w:r>
          </w:p>
        </w:tc>
        <w:tc>
          <w:tcPr>
            <w:tcW w:w="709" w:type="dxa"/>
            <w:noWrap/>
            <w:hideMark/>
          </w:tcPr>
          <w:p w14:paraId="2A76C60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w:t>
            </w:r>
          </w:p>
        </w:tc>
        <w:tc>
          <w:tcPr>
            <w:tcW w:w="650" w:type="dxa"/>
            <w:noWrap/>
            <w:hideMark/>
          </w:tcPr>
          <w:p w14:paraId="2998AB4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c>
          <w:tcPr>
            <w:tcW w:w="517" w:type="dxa"/>
            <w:noWrap/>
            <w:hideMark/>
          </w:tcPr>
          <w:p w14:paraId="60EF925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c>
          <w:tcPr>
            <w:tcW w:w="767" w:type="dxa"/>
            <w:noWrap/>
            <w:hideMark/>
          </w:tcPr>
          <w:p w14:paraId="61CEF63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22</w:t>
            </w:r>
          </w:p>
        </w:tc>
        <w:tc>
          <w:tcPr>
            <w:tcW w:w="695" w:type="dxa"/>
            <w:noWrap/>
            <w:hideMark/>
          </w:tcPr>
          <w:p w14:paraId="5BC9770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19-29</w:t>
            </w:r>
          </w:p>
        </w:tc>
        <w:tc>
          <w:tcPr>
            <w:tcW w:w="1907" w:type="dxa"/>
            <w:noWrap/>
            <w:hideMark/>
          </w:tcPr>
          <w:p w14:paraId="5AE8EEFC"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w:t>
            </w:r>
          </w:p>
        </w:tc>
        <w:tc>
          <w:tcPr>
            <w:tcW w:w="445" w:type="dxa"/>
            <w:noWrap/>
            <w:hideMark/>
          </w:tcPr>
          <w:p w14:paraId="35251B6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36</w:t>
            </w:r>
          </w:p>
        </w:tc>
        <w:tc>
          <w:tcPr>
            <w:tcW w:w="1681" w:type="dxa"/>
            <w:noWrap/>
            <w:hideMark/>
          </w:tcPr>
          <w:p w14:paraId="6B9920CC"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3T Siemens Allegro</w:t>
            </w:r>
          </w:p>
        </w:tc>
        <w:tc>
          <w:tcPr>
            <w:tcW w:w="1547" w:type="dxa"/>
            <w:noWrap/>
            <w:hideMark/>
          </w:tcPr>
          <w:p w14:paraId="6C8C1EE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SPM2</w:t>
            </w:r>
          </w:p>
        </w:tc>
        <w:tc>
          <w:tcPr>
            <w:tcW w:w="1855" w:type="dxa"/>
            <w:noWrap/>
            <w:hideMark/>
          </w:tcPr>
          <w:p w14:paraId="568A7A3B"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Pcorr</w:t>
            </w:r>
            <w:proofErr w:type="spellEnd"/>
            <w:r w:rsidRPr="00101744">
              <w:rPr>
                <w:rFonts w:ascii="Arial" w:eastAsia="Times New Roman" w:hAnsi="Arial" w:cs="Arial"/>
                <w:color w:val="000000"/>
                <w:sz w:val="18"/>
                <w:szCs w:val="18"/>
                <w:lang w:val="en-US" w:eastAsia="pt-PT"/>
              </w:rPr>
              <w:t>&lt;0.05</w:t>
            </w:r>
          </w:p>
        </w:tc>
        <w:tc>
          <w:tcPr>
            <w:tcW w:w="717" w:type="dxa"/>
            <w:noWrap/>
            <w:hideMark/>
          </w:tcPr>
          <w:p w14:paraId="197FFC1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2500</w:t>
            </w:r>
          </w:p>
        </w:tc>
        <w:tc>
          <w:tcPr>
            <w:tcW w:w="1146" w:type="dxa"/>
            <w:noWrap/>
            <w:hideMark/>
          </w:tcPr>
          <w:p w14:paraId="5DF6728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r>
      <w:tr w:rsidR="003D1F45" w:rsidRPr="00101744" w14:paraId="5881253C" w14:textId="77777777" w:rsidTr="00B60BB2">
        <w:trPr>
          <w:trHeight w:val="300"/>
        </w:trPr>
        <w:tc>
          <w:tcPr>
            <w:tcW w:w="2269" w:type="dxa"/>
            <w:noWrap/>
            <w:vAlign w:val="center"/>
            <w:hideMark/>
          </w:tcPr>
          <w:p w14:paraId="164FE881" w14:textId="65606CD4"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{"citationItems":[{"id":"ITEM-1","itemData":{"DOI":"10.1002/hbm.20751","ISSN":"10659471","PMID":"19288464","abstract":"Visual tuning for words vs. symbol strings yields complementary increases of fast occipito-temporal activity (N1 or N170) in the event-related potential (ERP), and posterior-anterior gradients of increasing word-specific activity with functional magnetic resonance imaging (fMRI) in the visual word form system (VWFS). However, correlation of these coarse ERP and fMRI tuning responses seems limited to the most anterior part of the VWFS in adult and adolescent readers (Brem et al. [ 2006]: Neuroimage 29:822-837). We thus focused on fMRI tuning gradients of young readers with their more pronounced ERP print tuning, and compared developmental aspects of ERP and fMRI response tuning in the VWFS. Children (10.3 y, n = 19), adolescents (16.2 y, n = 13) and adults (25.2 y, n = 18) were tested with the same implicit reading paradigm using counterbalanced ERP and fMRI imaging. The word-specific occipito-temporal N1 specialization, its corresponding source activity, as well as the integrated source activity (0-700 ms) were most prominent in children and showed a marked decrease with age. The posterior-anterior fMRI gradient of word-specific activity instead which was fully established in children did not develop further, but exhibited a dependence on reading skills independent of age. To conclude, prominent developmental dissociation of the ERP and fMRI tuning patterns emerged despite convergent VWFS localization. The ERP response may selectively reflect fast visual aspects of print specialization</w:instrText>
            </w:r>
            <w:r w:rsidR="00C14016" w:rsidRPr="00C14016">
              <w:rPr>
                <w:rFonts w:ascii="Arial" w:hAnsi="Arial" w:cs="Arial"/>
                <w:color w:val="000000"/>
                <w:sz w:val="18"/>
                <w:szCs w:val="18"/>
                <w:lang w:val="en-GB" w:eastAsia="pt-PT"/>
              </w:rPr>
              <w:instrText>, which become less important with age, while the fMRI response seems dominated by integrated task- and reading-related activations in the same regions.","author":[{"dropping-particle":"","family":"Brem","given":"Silvia","non-dropping-particle":"","parse-names":false,"suffix":""},{"dropping-particle":"","family":"Halder","given":"Pascal","non-dropping-particle":"","parse-names":false,"suffix":""},{"dropping-particle":"","family":"Bucher","given":"Kerstin","non-dropping-particle":"","parse-names":false,"suffix":""},{"dropping-particle":"","family":"Summers","given":"Paul","non-dropping-particle":"","parse-names":false,"suffix":""},{"dropping-particle":"","family":"Martin","given":"Ernst","non-dropping-particle":"","parse-names":false,"suffix":""},{"dropping-particle":"","family":"Brandeis","given":"Daniel","non-dropping-particle":"","parse-names":false,"suffix":""}],"container-title":"Human Brain Mapping","id":"ITEM-1","issue":"6","issued":{"date-parts":[["2009","6"]]},"page":"1833-1844","title":"Tuning of the visual word processing system: Distinct developmental ERP and fMRI effects","type":"article-journal","volume":"30"},"uris":["http://www.mendeley.com/documents/?uuid=d8b0c80e-4b7c-328d-98c0-8884bb0c727b"]}],"mendeley":{"formattedCitation":"(Brem et al. 2009)","plainTextFormattedCitation":"(Brem et al. 2009)","previouslyFormattedCitation":"&lt;sup&gt;8&lt;/sup&gt;"},"properties":{"noteIndex":0},"schema":"https://github.com/citation-style-language/schema/raw/master/csl-citation.json"}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(Brem et al. 2009)</w:t>
            </w:r>
            <w:r w:rsidRPr="00101744">
              <w:rPr>
                <w:rFonts w:ascii="Arial" w:eastAsia="Times New Roman" w:hAnsi="Arial" w:cs="Arial"/>
                <w:color w:val="000000"/>
                <w:sz w:val="18"/>
                <w:szCs w:val="18"/>
                <w:lang w:val="en-US" w:eastAsia="pt-PT"/>
              </w:rPr>
              <w:fldChar w:fldCharType="end"/>
            </w:r>
          </w:p>
        </w:tc>
        <w:tc>
          <w:tcPr>
            <w:tcW w:w="709" w:type="dxa"/>
            <w:noWrap/>
            <w:hideMark/>
          </w:tcPr>
          <w:p w14:paraId="1297616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18</w:t>
            </w:r>
          </w:p>
        </w:tc>
        <w:tc>
          <w:tcPr>
            <w:tcW w:w="650" w:type="dxa"/>
            <w:noWrap/>
            <w:hideMark/>
          </w:tcPr>
          <w:p w14:paraId="54814DC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9</w:t>
            </w:r>
          </w:p>
        </w:tc>
        <w:tc>
          <w:tcPr>
            <w:tcW w:w="517" w:type="dxa"/>
            <w:noWrap/>
            <w:hideMark/>
          </w:tcPr>
          <w:p w14:paraId="7F922B4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9</w:t>
            </w:r>
          </w:p>
        </w:tc>
        <w:tc>
          <w:tcPr>
            <w:tcW w:w="767" w:type="dxa"/>
            <w:noWrap/>
            <w:hideMark/>
          </w:tcPr>
          <w:p w14:paraId="2592338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25</w:t>
            </w:r>
          </w:p>
        </w:tc>
        <w:tc>
          <w:tcPr>
            <w:tcW w:w="695" w:type="dxa"/>
            <w:noWrap/>
            <w:hideMark/>
          </w:tcPr>
          <w:p w14:paraId="74CFB6D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20-31</w:t>
            </w:r>
          </w:p>
        </w:tc>
        <w:tc>
          <w:tcPr>
            <w:tcW w:w="1907" w:type="dxa"/>
            <w:noWrap/>
            <w:hideMark/>
          </w:tcPr>
          <w:p w14:paraId="5FA6D037"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words and strings</w:t>
            </w:r>
          </w:p>
        </w:tc>
        <w:tc>
          <w:tcPr>
            <w:tcW w:w="445" w:type="dxa"/>
            <w:noWrap/>
            <w:hideMark/>
          </w:tcPr>
          <w:p w14:paraId="1D8EB41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9</w:t>
            </w:r>
          </w:p>
        </w:tc>
        <w:tc>
          <w:tcPr>
            <w:tcW w:w="1681" w:type="dxa"/>
            <w:noWrap/>
            <w:hideMark/>
          </w:tcPr>
          <w:p w14:paraId="06A05FC1"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1.5T </w:t>
            </w:r>
            <w:proofErr w:type="spellStart"/>
            <w:r w:rsidRPr="00101744">
              <w:rPr>
                <w:rFonts w:ascii="Arial" w:eastAsia="Times New Roman" w:hAnsi="Arial" w:cs="Arial"/>
                <w:color w:val="000000"/>
                <w:sz w:val="18"/>
                <w:szCs w:val="18"/>
                <w:lang w:val="en-US" w:eastAsia="pt-PT"/>
              </w:rPr>
              <w:t>Intera</w:t>
            </w:r>
            <w:proofErr w:type="spellEnd"/>
            <w:r w:rsidRPr="00101744">
              <w:rPr>
                <w:rFonts w:ascii="Arial" w:eastAsia="Times New Roman" w:hAnsi="Arial" w:cs="Arial"/>
                <w:color w:val="000000"/>
                <w:sz w:val="18"/>
                <w:szCs w:val="18"/>
                <w:lang w:val="en-US" w:eastAsia="pt-PT"/>
              </w:rPr>
              <w:t xml:space="preserve"> Philips</w:t>
            </w:r>
          </w:p>
        </w:tc>
        <w:tc>
          <w:tcPr>
            <w:tcW w:w="1547" w:type="dxa"/>
            <w:noWrap/>
            <w:hideMark/>
          </w:tcPr>
          <w:p w14:paraId="518630D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SPM5</w:t>
            </w:r>
          </w:p>
        </w:tc>
        <w:tc>
          <w:tcPr>
            <w:tcW w:w="1855" w:type="dxa"/>
            <w:noWrap/>
            <w:hideMark/>
          </w:tcPr>
          <w:p w14:paraId="240BF3F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P(FDR)&lt;0.01</w:t>
            </w:r>
          </w:p>
        </w:tc>
        <w:tc>
          <w:tcPr>
            <w:tcW w:w="717" w:type="dxa"/>
            <w:noWrap/>
            <w:hideMark/>
          </w:tcPr>
          <w:p w14:paraId="799AC7A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3000</w:t>
            </w:r>
          </w:p>
        </w:tc>
        <w:tc>
          <w:tcPr>
            <w:tcW w:w="1146" w:type="dxa"/>
            <w:noWrap/>
            <w:hideMark/>
          </w:tcPr>
          <w:p w14:paraId="41EA6713" w14:textId="77777777" w:rsidR="003D1F45" w:rsidRPr="00101744" w:rsidRDefault="003D1F45" w:rsidP="00B60BB2">
            <w:pPr>
              <w:jc w:val="center"/>
              <w:rPr>
                <w:rFonts w:ascii="Arial" w:eastAsia="Times New Roman" w:hAnsi="Arial" w:cs="Arial"/>
                <w:color w:val="000000"/>
                <w:sz w:val="18"/>
                <w:szCs w:val="18"/>
                <w:lang w:val="en-US" w:eastAsia="pt-PT"/>
              </w:rPr>
            </w:pPr>
          </w:p>
        </w:tc>
      </w:tr>
      <w:tr w:rsidR="003D1F45" w:rsidRPr="00101744" w14:paraId="1E2DCFDA" w14:textId="77777777" w:rsidTr="00B60BB2">
        <w:trPr>
          <w:trHeight w:val="300"/>
        </w:trPr>
        <w:tc>
          <w:tcPr>
            <w:tcW w:w="2269" w:type="dxa"/>
            <w:noWrap/>
            <w:vAlign w:val="center"/>
            <w:hideMark/>
          </w:tcPr>
          <w:p w14:paraId="6D7E46C3" w14:textId="6C44504D"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val="en-GB" w:eastAsia="pt-PT"/>
              </w:rPr>
              <w:instrText>ADDIN CSL_CITATION {"citationItems":[{"id":"ITEM-1","itemData":{"DOI":"10.1002/hbm.20122","ISSN":"1065-9471","PMID":"15934062","abstract":"Aloud reading of novel words is achieved by phonological decoding, a process in which grapheme-to-phoneme conversion rules are applied to \"sound out\" a word's spoken representation. Numerous brain imaging studies have examined the neural bases of phonological decoding by contrasting pseudoword (pronounceable nonwords) to real word reading. However, only a few investigations have examined pseudoword reading under both aloud and silent conditions, task parameters that are likely to significantly alter the functional anatomy of phonological decoding. Subjects participated in an fMRI study of aloud pseudoword, aloud real word, silent pseudoword, and silent real word reading. Using this two-by-two design, we examined effects of word-type (real words vs. pseudowords) and response-modality (silent vs. aloud) and their interactions. We found 1) four regions to be invariantly active across the four reading conditions: the anterior aspect of the left precentral gyrus (Brodmann's Area (BA) 6), and three areas within the left ventral occipitotemporal cortex; 2) a main effect of word-type (pseudowords &gt; words) in left inferior frontal gyrus and left intraparietal sulcus; 3) a main effect of response-modality (aloud &gt; silent) that included bilateral motor, auditory, and extrastriate cortex; and 4) a single left hemisphere extrastriate region showing a word-type by response-modality interaction effect. This region, within the posterior fusiform cortex at BA 19, was uniquely modulated by varying phonological processing demands. This result suggests that when reading, word forms are subject to phonological analysis at the point they are first recognized as alphabetic stimuli and BA 19 is involved in processing the phonological properties of words.","author":[{"dropping-particle":"","family":"Dietz","given":"Nicole A.E.","non-dropping-particle":"","parse-names":false,"suffix":""},{"dropping-particle":"","family":"Jones","given":"Karen M.","non-dropping-particle":"","parse-names":false,"suffix":""},{"dropping-particle":"","family":"Gareau","given":"Lynn","non-dropping-particle":"","parse-names":false,"suffix":""},{"dropping-particle":"","family":"Zeffiro","given":"Thomas A.","non-dropping-particle":"","parse-names":false,"suffix":""},{"dropping-particle":"","family":"Eden","given":"Guinevere F.","non-dropping-particle":"","parse-names":false,"suffix":""}],"container-title":"Human Brain Mapping","id":"ITEM-1","issue":"2","issued":{"date-parts":[["2005","10"]]},"page":"81-93","title":"Phonological decoding involves left posterior fusiform gyrus","type":"article-journal","volume":"26"},"uris":["http://www.mendeley.com/documents/?uuid=f01aa63f-bfd1-32b9-9877-04246806f7eb"]}],"mendeley":{"formattedCitation":"(Dietz et al. 2005)","plainTextFormattedCitation":"(Dietz et al. 2005)","previouslyFormattedCitation":"&lt;sup&gt;9&lt;/sup&gt;"},"properties":{"noteIndex":0},"schema":"https://github.com/citation-style-language/schema/raw/master/csl-citation.json"}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(Dietz et al. 2005)</w:t>
            </w:r>
            <w:r w:rsidRPr="00101744">
              <w:rPr>
                <w:rFonts w:ascii="Arial" w:eastAsia="Times New Roman" w:hAnsi="Arial" w:cs="Arial"/>
                <w:color w:val="000000"/>
                <w:sz w:val="18"/>
                <w:szCs w:val="18"/>
                <w:lang w:val="en-US" w:eastAsia="pt-PT"/>
              </w:rPr>
              <w:fldChar w:fldCharType="end"/>
            </w:r>
          </w:p>
        </w:tc>
        <w:tc>
          <w:tcPr>
            <w:tcW w:w="709" w:type="dxa"/>
            <w:noWrap/>
            <w:hideMark/>
          </w:tcPr>
          <w:p w14:paraId="206D8A1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16</w:t>
            </w:r>
          </w:p>
        </w:tc>
        <w:tc>
          <w:tcPr>
            <w:tcW w:w="650" w:type="dxa"/>
            <w:noWrap/>
            <w:hideMark/>
          </w:tcPr>
          <w:p w14:paraId="255894A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7</w:t>
            </w:r>
          </w:p>
        </w:tc>
        <w:tc>
          <w:tcPr>
            <w:tcW w:w="517" w:type="dxa"/>
            <w:noWrap/>
            <w:hideMark/>
          </w:tcPr>
          <w:p w14:paraId="524C099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9</w:t>
            </w:r>
          </w:p>
        </w:tc>
        <w:tc>
          <w:tcPr>
            <w:tcW w:w="767" w:type="dxa"/>
            <w:noWrap/>
            <w:hideMark/>
          </w:tcPr>
          <w:p w14:paraId="4A18927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31</w:t>
            </w:r>
          </w:p>
        </w:tc>
        <w:tc>
          <w:tcPr>
            <w:tcW w:w="695" w:type="dxa"/>
            <w:noWrap/>
            <w:hideMark/>
          </w:tcPr>
          <w:p w14:paraId="2BB6AF7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21-40</w:t>
            </w:r>
          </w:p>
        </w:tc>
        <w:tc>
          <w:tcPr>
            <w:tcW w:w="1907" w:type="dxa"/>
            <w:noWrap/>
            <w:hideMark/>
          </w:tcPr>
          <w:p w14:paraId="1A75A3AC"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w:t>
            </w:r>
          </w:p>
        </w:tc>
        <w:tc>
          <w:tcPr>
            <w:tcW w:w="445" w:type="dxa"/>
            <w:noWrap/>
            <w:hideMark/>
          </w:tcPr>
          <w:p w14:paraId="2E14CF9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7</w:t>
            </w:r>
          </w:p>
        </w:tc>
        <w:tc>
          <w:tcPr>
            <w:tcW w:w="1681" w:type="dxa"/>
            <w:noWrap/>
            <w:hideMark/>
          </w:tcPr>
          <w:p w14:paraId="6F6D4A24"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1.5T </w:t>
            </w:r>
            <w:proofErr w:type="spellStart"/>
            <w:r w:rsidRPr="00101744">
              <w:rPr>
                <w:rFonts w:ascii="Arial" w:eastAsia="Times New Roman" w:hAnsi="Arial" w:cs="Arial"/>
                <w:color w:val="000000"/>
                <w:sz w:val="18"/>
                <w:szCs w:val="18"/>
                <w:lang w:val="en-US" w:eastAsia="pt-PT"/>
              </w:rPr>
              <w:t>Magnetom</w:t>
            </w:r>
            <w:proofErr w:type="spellEnd"/>
            <w:r w:rsidRPr="00101744">
              <w:rPr>
                <w:rFonts w:ascii="Arial" w:eastAsia="Times New Roman" w:hAnsi="Arial" w:cs="Arial"/>
                <w:color w:val="000000"/>
                <w:sz w:val="18"/>
                <w:szCs w:val="18"/>
                <w:lang w:val="en-US" w:eastAsia="pt-PT"/>
              </w:rPr>
              <w:t xml:space="preserve"> Siemens</w:t>
            </w:r>
          </w:p>
        </w:tc>
        <w:tc>
          <w:tcPr>
            <w:tcW w:w="1547" w:type="dxa"/>
            <w:noWrap/>
            <w:hideMark/>
          </w:tcPr>
          <w:p w14:paraId="4EC2494E"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MEDx</w:t>
            </w:r>
            <w:proofErr w:type="spellEnd"/>
          </w:p>
        </w:tc>
        <w:tc>
          <w:tcPr>
            <w:tcW w:w="1855" w:type="dxa"/>
            <w:noWrap/>
            <w:hideMark/>
          </w:tcPr>
          <w:p w14:paraId="0E83037D"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5329973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12000</w:t>
            </w:r>
          </w:p>
        </w:tc>
        <w:tc>
          <w:tcPr>
            <w:tcW w:w="1146" w:type="dxa"/>
            <w:noWrap/>
            <w:hideMark/>
          </w:tcPr>
          <w:p w14:paraId="7D9A294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3.6</w:t>
            </w:r>
          </w:p>
        </w:tc>
      </w:tr>
      <w:tr w:rsidR="003D1F45" w:rsidRPr="00101744" w14:paraId="1DBAA8DA" w14:textId="77777777" w:rsidTr="00B60BB2">
        <w:trPr>
          <w:trHeight w:val="300"/>
        </w:trPr>
        <w:tc>
          <w:tcPr>
            <w:tcW w:w="2269" w:type="dxa"/>
            <w:noWrap/>
            <w:vAlign w:val="center"/>
            <w:hideMark/>
          </w:tcPr>
          <w:p w14:paraId="5E8B8FDF" w14:textId="03C88D6B"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{"citationItems":[{"id":"ITEM-1","itemData":{"DOI":"10.1016/j.cogbrainres.2004.03.017","ISSN":"09266410","PMID":"15268917","abstract":"Metaphoric language is used to express meaning that is otherwise difficult to conceptualize elegantly. Beyond semantic analysis, understanding the figurative meaning of a metaphor requires mental linkage of different category domains normally not related to each other. We investigated processing of metaphoric sentences using event-related functional magnetic resonance imaging (fMRI). Stimuli consisted of 60 novel short German sentence pairs with either metaphoric or literal meaning. The pairs differed only in their last one to three words and were matched for syntax structure, word frequency, connotation and tense. Fifteen healthy subjects (six female, nine male, 19-51 years) read these sentences silently and judged by pressing one of two buttons whether they had a positive or negative connotation. Reading metaphors in contrast to literal sentences revealed signal changes in the left lateral inferior frontal (BA 45/47), inferior temporal (BA 20) and posterior middle/inferior temporal (BA 37) gyri. The activation in the left inferior frontal gyrus may reflect semantic inferencing processes during the understanding of a metaphor. This is in line with the results from other functional imaging studies showing an involvement of the left inferior frontal gyrus in integrating word and sentence meanings. Previous results of a right hemispheric involvement in metaphor processing might reflect understanding of complex sentences.","author":[{"dropping-particle":"","family":"Rapp","given":"Alexander M","non-dropping-particle":"","parse-names":false,"suffix":""},{"dropping-particle":"","family":"Leube","given":"Dirk T","non-dropping-particle":"","parse-names":false,"suffix":""},{"dropping-particle":"","family":"Erb","given":"Michael","non-dropping-particle":"","parse-names":false,"suffix":""},{"dropping-particle":"","family":"Grodd","given":"Wolfgang","non-dropping-particle":"","parse-names":false,"suffix":""},{"dropping-particle":"","family":"Kircher","given":"Tilo T.J","non-dropping-particle":"","parse-names":false,"suffix":""}],"container-title":"Cognitive Brain Research","id":"ITEM-1","issue":"3","issued":{"date-parts":[["2004","8"]]},"page":"395-402","title":"Neural correlates of metaphor processing","type":"article-journal","volume":"20"},"uris":["http://www.mendeley.com/documents/?uuid=22fef395-73d4-34cf-abc5-b5ed1985f176"]}],"mendeley":{"formattedCitation":"(Rapp et al. 2004)","plainTextFormattedCitation":"(Rapp et al. 2004)","previouslyFormattedCitation":"&lt;sup&gt;10&lt;/sup&gt;"},"properties":{"noteIndex":0},"schema":"https://github.com/citation-style-language/schema/raw/master/csl-citation.json"}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(Rapp et al. 2004)</w:t>
            </w:r>
            <w:r w:rsidRPr="00101744">
              <w:rPr>
                <w:rFonts w:ascii="Arial" w:eastAsia="Times New Roman" w:hAnsi="Arial" w:cs="Arial"/>
                <w:color w:val="000000"/>
                <w:sz w:val="18"/>
                <w:szCs w:val="18"/>
                <w:lang w:val="en-US" w:eastAsia="pt-PT"/>
              </w:rPr>
              <w:fldChar w:fldCharType="end"/>
            </w:r>
          </w:p>
        </w:tc>
        <w:tc>
          <w:tcPr>
            <w:tcW w:w="709" w:type="dxa"/>
            <w:noWrap/>
            <w:hideMark/>
          </w:tcPr>
          <w:p w14:paraId="2B1B484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w:t>
            </w:r>
          </w:p>
        </w:tc>
        <w:tc>
          <w:tcPr>
            <w:tcW w:w="650" w:type="dxa"/>
            <w:noWrap/>
            <w:hideMark/>
          </w:tcPr>
          <w:p w14:paraId="50AFFB8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w:t>
            </w:r>
          </w:p>
        </w:tc>
        <w:tc>
          <w:tcPr>
            <w:tcW w:w="517" w:type="dxa"/>
            <w:noWrap/>
            <w:hideMark/>
          </w:tcPr>
          <w:p w14:paraId="0A51EF1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9</w:t>
            </w:r>
          </w:p>
        </w:tc>
        <w:tc>
          <w:tcPr>
            <w:tcW w:w="767" w:type="dxa"/>
            <w:noWrap/>
            <w:hideMark/>
          </w:tcPr>
          <w:p w14:paraId="044E3F45"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95" w:type="dxa"/>
            <w:noWrap/>
            <w:hideMark/>
          </w:tcPr>
          <w:p w14:paraId="48DDDB7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19-51</w:t>
            </w:r>
          </w:p>
        </w:tc>
        <w:tc>
          <w:tcPr>
            <w:tcW w:w="1907" w:type="dxa"/>
            <w:noWrap/>
            <w:hideMark/>
          </w:tcPr>
          <w:p w14:paraId="0239FE57"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Sentences</w:t>
            </w:r>
          </w:p>
        </w:tc>
        <w:tc>
          <w:tcPr>
            <w:tcW w:w="445" w:type="dxa"/>
            <w:noWrap/>
            <w:hideMark/>
          </w:tcPr>
          <w:p w14:paraId="05DEFE5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23</w:t>
            </w:r>
          </w:p>
        </w:tc>
        <w:tc>
          <w:tcPr>
            <w:tcW w:w="1681" w:type="dxa"/>
            <w:noWrap/>
            <w:hideMark/>
          </w:tcPr>
          <w:p w14:paraId="56D0F673"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1.5T Sonata Siemens</w:t>
            </w:r>
          </w:p>
        </w:tc>
        <w:tc>
          <w:tcPr>
            <w:tcW w:w="1547" w:type="dxa"/>
            <w:noWrap/>
            <w:hideMark/>
          </w:tcPr>
          <w:p w14:paraId="298B813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67EA1285"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19D560D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6" w:type="dxa"/>
            <w:noWrap/>
            <w:hideMark/>
          </w:tcPr>
          <w:p w14:paraId="29F100D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r>
      <w:tr w:rsidR="003D1F45" w:rsidRPr="00101744" w14:paraId="2C4B111A" w14:textId="77777777" w:rsidTr="00B60BB2">
        <w:trPr>
          <w:trHeight w:val="300"/>
        </w:trPr>
        <w:tc>
          <w:tcPr>
            <w:tcW w:w="2269" w:type="dxa"/>
            <w:noWrap/>
            <w:vAlign w:val="center"/>
            <w:hideMark/>
          </w:tcPr>
          <w:p w14:paraId="1CEC7E20" w14:textId="491F9E8F"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{"citationItems":[{"id":"ITEM-1","itemData":{"DOI":"10.1016/j.brainres.2006.12.043","ISSN":"00068993","PMID":"17229404","abstract":"The neural mechanisms underlying the syntactic processing of sentence comprehension in Korean (L1) and English (L2) by late bilinguals were investigated using functional MRI. The Korean native speakers were asked to read sentences with different levels of syntactic complexity in L1 and L2 and respond to comprehension questions concerning the sentences. The syntactic complexity was varied using a center-embedded sentence \"The director that the maid introduced ignored the farmer\" or a conjoined sentence \"The maid introduced the director and ignored the farmer\". It was found that the major areas involved in sentence processing such as the left inferior frontal gyrus (IFG), bilateral inferior parietal gyrus, and occipital lobe including cuneus, and lingual gyrus were commonly activated during the processing of both L1 and L2. However, the pattern of activation was different for L1 and L2 in the left IFG. The amount of activation was greater for embedded sentences than for conjoined sentences in L1 while no difference was found in L2. These results suggest that the cortical areas involved with syntactic processing in L1 and L2 are shared, but that the underlying neural mechanisms are different. The findings of the present study are discussed in comparison with Hasegawa et al.'s (Hasegawa, M., Carpenter, P.A., Just, M.A., 2002. An fMRI study of bilingual sentence comprehension and workload. NeuroImage 15, 647-660.) and Yokoyama et al.'s (Yokoyama, S., Okamoto, H., Miyamoto, T., Yoshimoto, K., Kim, J., Iwata, K., Jeong, H., Uchida, S., Ikuta, N., Sassa, Y., Nakamura, W., Horie, K., Sato, S., Kawashima, R., 2006. Cortical activation in the processing of passive sentences in L1 and L2: An fMRI s</w:instrText>
            </w:r>
            <w:r w:rsidR="00C14016" w:rsidRPr="00C14016">
              <w:rPr>
                <w:rFonts w:ascii="Arial" w:hAnsi="Arial" w:cs="Arial"/>
                <w:color w:val="000000"/>
                <w:sz w:val="18"/>
                <w:szCs w:val="18"/>
                <w:lang w:val="en-GB" w:eastAsia="pt-PT"/>
              </w:rPr>
              <w:instrText>tudy. NeuroImage 30, 570-579.) studies which also found common areas of activation but different patterns of activation during the processing of L1 and L2.","author":[{"dropping-particle":"","family":"Suh","given":"Soyoung","non-dropping-particle":"","parse-names":false,"suffix":""},{"dropping-particle":"","family":"Yoon","given":"Hyo Woon","non-dropping-particle":"","parse-names":false,"suffix":""},{"dropping-particle":"","family":"Lee","given":"Seungbok","non-dropping-particle":"","parse-names":false,"suffix":""},{"dropping-particle":"","family":"Chung","given":"Jun-Young","non-dropping-particle":"","parse-names":false,"suffix":""},{"dropping-particle":"","family":"Cho","given":"Zang-Hee","non-dropping-particle":"","parse-names":false,"suffix":""},{"dropping-particle":"","family":"Park","given":"HyunWook","non-dropping-particle":"","parse-names":false,"suffix":""}],"container-title":"Brain Research","id":"ITEM-1","issue":"1","issued":{"date-parts":[["2007","3","9"]]},"page":"178-189","title":"Effects of syntactic complexity in L1 and L2; An fMRI study of Korean–English bilinguals","type":"article-journal","volume":"1136"},"uris":["http://www.mendeley.com/documents/?uuid=252115e0-f146-32cd-8493-78666c6e4aea"]}],"mendeley":{"formattedCitation":"(Suh et al. 2007)","plainTextFormattedCitation":"(Suh et al. 2007)","previouslyFormattedCitation":"&lt;sup&gt;11&lt;/sup&gt;"},"properties":{"noteIndex":0},"schema":"https://github.com/citation-style-language/schema/raw/master/csl-citation.json"}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(Suh et al. 2007)</w:t>
            </w:r>
            <w:r w:rsidRPr="00101744">
              <w:rPr>
                <w:rFonts w:ascii="Arial" w:eastAsia="Times New Roman" w:hAnsi="Arial" w:cs="Arial"/>
                <w:color w:val="000000"/>
                <w:sz w:val="18"/>
                <w:szCs w:val="18"/>
                <w:lang w:val="en-US" w:eastAsia="pt-PT"/>
              </w:rPr>
              <w:fldChar w:fldCharType="end"/>
            </w:r>
          </w:p>
        </w:tc>
        <w:tc>
          <w:tcPr>
            <w:tcW w:w="709" w:type="dxa"/>
            <w:noWrap/>
            <w:hideMark/>
          </w:tcPr>
          <w:p w14:paraId="37AF5DA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16</w:t>
            </w:r>
          </w:p>
        </w:tc>
        <w:tc>
          <w:tcPr>
            <w:tcW w:w="650" w:type="dxa"/>
            <w:noWrap/>
            <w:hideMark/>
          </w:tcPr>
          <w:p w14:paraId="5DA99DB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14</w:t>
            </w:r>
          </w:p>
        </w:tc>
        <w:tc>
          <w:tcPr>
            <w:tcW w:w="517" w:type="dxa"/>
            <w:noWrap/>
            <w:hideMark/>
          </w:tcPr>
          <w:p w14:paraId="4F13AC6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w:t>
            </w:r>
          </w:p>
        </w:tc>
        <w:tc>
          <w:tcPr>
            <w:tcW w:w="767" w:type="dxa"/>
            <w:noWrap/>
            <w:hideMark/>
          </w:tcPr>
          <w:p w14:paraId="40CAA79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23</w:t>
            </w:r>
          </w:p>
        </w:tc>
        <w:tc>
          <w:tcPr>
            <w:tcW w:w="695" w:type="dxa"/>
            <w:noWrap/>
            <w:hideMark/>
          </w:tcPr>
          <w:p w14:paraId="398D1FF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19-29</w:t>
            </w:r>
          </w:p>
        </w:tc>
        <w:tc>
          <w:tcPr>
            <w:tcW w:w="1907" w:type="dxa"/>
            <w:noWrap/>
            <w:hideMark/>
          </w:tcPr>
          <w:p w14:paraId="760FBF62"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Sentences</w:t>
            </w:r>
          </w:p>
        </w:tc>
        <w:tc>
          <w:tcPr>
            <w:tcW w:w="445" w:type="dxa"/>
            <w:noWrap/>
            <w:hideMark/>
          </w:tcPr>
          <w:p w14:paraId="552E1A7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w:t>
            </w:r>
          </w:p>
        </w:tc>
        <w:tc>
          <w:tcPr>
            <w:tcW w:w="1681" w:type="dxa"/>
            <w:noWrap/>
            <w:hideMark/>
          </w:tcPr>
          <w:p w14:paraId="64B96D64"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3T ISOL Tech</w:t>
            </w:r>
          </w:p>
        </w:tc>
        <w:tc>
          <w:tcPr>
            <w:tcW w:w="1547" w:type="dxa"/>
            <w:noWrap/>
            <w:hideMark/>
          </w:tcPr>
          <w:p w14:paraId="38A6775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SPM2</w:t>
            </w:r>
          </w:p>
        </w:tc>
        <w:tc>
          <w:tcPr>
            <w:tcW w:w="1855" w:type="dxa"/>
            <w:noWrap/>
            <w:hideMark/>
          </w:tcPr>
          <w:p w14:paraId="653CE832"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&lt;0.00001</w:t>
            </w:r>
          </w:p>
        </w:tc>
        <w:tc>
          <w:tcPr>
            <w:tcW w:w="717" w:type="dxa"/>
            <w:noWrap/>
            <w:hideMark/>
          </w:tcPr>
          <w:p w14:paraId="6CA4AAB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3000</w:t>
            </w:r>
          </w:p>
        </w:tc>
        <w:tc>
          <w:tcPr>
            <w:tcW w:w="1146" w:type="dxa"/>
            <w:noWrap/>
            <w:hideMark/>
          </w:tcPr>
          <w:p w14:paraId="0436258C" w14:textId="77777777" w:rsidR="003D1F45" w:rsidRPr="00101744" w:rsidRDefault="003D1F45" w:rsidP="00B60BB2">
            <w:pPr>
              <w:jc w:val="center"/>
              <w:rPr>
                <w:rFonts w:ascii="Arial" w:eastAsia="Times New Roman" w:hAnsi="Arial" w:cs="Arial"/>
                <w:color w:val="000000"/>
                <w:sz w:val="18"/>
                <w:szCs w:val="18"/>
                <w:lang w:val="en-US" w:eastAsia="pt-PT"/>
              </w:rPr>
            </w:pPr>
          </w:p>
        </w:tc>
      </w:tr>
      <w:tr w:rsidR="003D1F45" w:rsidRPr="00101744" w14:paraId="307E4019" w14:textId="77777777" w:rsidTr="00B60BB2">
        <w:trPr>
          <w:trHeight w:val="300"/>
        </w:trPr>
        <w:tc>
          <w:tcPr>
            <w:tcW w:w="2269" w:type="dxa"/>
            <w:noWrap/>
            <w:vAlign w:val="center"/>
            <w:hideMark/>
          </w:tcPr>
          <w:p w14:paraId="56DBD07C" w14:textId="13AA0A2F"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{"citationItems":[{"id":"ITEM-1","itemData":{"DOI":"10.1016/j.neuroimage.2005.09.066","ISSN":"10538119","PMID":"16300965","abstract":"The question of whether the bilingual brain processes a first and second language (L1 and L2, respectively) differently is a central issue in many psycholinguistic and neurolinguistic studies. This study used functional magnetic resonance imaging (fMRI) to investigate whether late bilinguals process structurally complex sentences in L1 and L2 in different cortical networks. For this purpose, we directly compared brain activity during the processing of active and passive sentences in both L1 and L2. We asked 36 healthy subjects to judge whether or not a presented sentence was semantically plausible. Both L1 and L2 activated the left hemispheric language-related regions such as the left inferior frontal, superior/middle temporal, and parietal cortices. However, we found different activation patterns between L1 and L2 in the processing of passive sentences. Passive sentences elicited greater activation than their active counterparts in the left pars triangularis, the premotor area, and the superior parietal lobule in Japanese, but not in English. Furthermore, there was a significant interaction between sentence type (active versus passive) and language (Japanese versus English) in the left pars orbitalis. The results of this study indi</w:instrText>
            </w:r>
            <w:r w:rsidR="00C14016">
              <w:rPr>
                <w:rFonts w:ascii="Arial" w:hAnsi="Arial" w:cs="Arial"/>
                <w:color w:val="000000"/>
                <w:sz w:val="18"/>
                <w:szCs w:val="18"/>
                <w:lang w:eastAsia="pt-PT"/>
              </w:rPr>
              <w:instrText>cate that late bilinguals use similar cortical regions to comprehend both L1 and L2. However, when late bilinguals are presented with structurally complex sentences, the involvement of these regions differs between L1 and L2. These results suggest that, in addition to age of L2 acquisition and L2 proficiency, differences in grammatical construction affect cortical representation during the comprehension of L1 and L2.","author":[{"dropping-particle":"","family":"Yokoyama","given":"Satoru","non-dropping-particle":"","parse-names":false,"suffix":""},{"dropping-particle":"","family":"Okamoto","given":"Hideyuki","non-dropping-particle":"","parse-names":false,"suffix":""},{"dropping-particle":"","family":"Miyamoto","given":"Tadao","non-dropping-particle":"","parse-names":false,"suffix":""},{"dropping-particle":"","family":"Yoshimoto","given":"Kei","non-dropping-particle":"","parse-names":false,"suffix":""},{"dropping-particle":"","family":"Kim","given":"Jungho","non-dropping-particle":"","parse-names":false,"suffix":""},{"dropping-particle":"","family":"Iwata","given":"Kazuki","non-dropping-particle":"","parse-names":false,"suffix":""},{"dropping-particle":"","family":"Jeong","given":"Hyeonjeong","non-droppi</w:instrText>
            </w:r>
            <w:r w:rsidR="00C14016" w:rsidRPr="00C14016">
              <w:rPr>
                <w:rFonts w:ascii="Arial" w:hAnsi="Arial" w:cs="Arial"/>
                <w:color w:val="000000"/>
                <w:sz w:val="18"/>
                <w:szCs w:val="18"/>
                <w:lang w:val="en-GB" w:eastAsia="pt-PT"/>
              </w:rPr>
              <w:instrText>ng-particle":"","parse-names":false,"suffix":""},{"dropping-particle":"","family":"Uchida","given":"Shinya","non-dropping-particle":"","parse-names":false,"suffix":""},{"dropping-particle":"","family":"Ikuta","given":"Naho","non-dropping-particle":"","parse-names":false,"suffix":""},{"dropping-particle":"","family":"Sassa","given":"Yuko","non-dropping-particle":"","parse-names":false,"suffix":""},{"dropping-particle":"","family":"Nakamura","given":"Wataru","non-dropping-particle":"","parse-names":false,"suffix":""},{"dropping-particle":"","family":"Horie","given":"Kaoru","non-dropping-particle":"","parse-names":false,"suffix":""},{"dropping-particle":"","family":"Sato","given":"Shigeru","non-dropping-particle":"","parse-names":false,"suffix":""},{"dropping-particle":"","family":"Kawashima","given":"Ryuta","non-dropping-particle":"","parse-names":false,"suffix":""}],"container-title":"NeuroImage","id":"ITEM-1","issue":"2","issued":{"date-parts":[["2006","4","1"]]},"page":"570-579","title":"Cortical activation in the processing of passive sentences in L1 and L2: An fMRI study","type":"article-journal","volume":"30"},"uris":["http://www.mendeley.com/documents/?uuid=fedac572-e960-3c77-a526-84d8c9a19d4c"]}],"mendeley":{"formattedCitation":"(Yokoyama et al. 2006)","plainTextFormattedCitation":"(Yokoyama et al. 2006)","previouslyFormattedCitation":"&lt;sup&gt;12&lt;/sup&gt;"},"properties":{"noteIndex":0},"schema":"https://github.com/citation-style-language/schema/raw/master/csl-citation.json"}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(Yokoyama et al. 2006)</w:t>
            </w:r>
            <w:r w:rsidRPr="00101744">
              <w:rPr>
                <w:rFonts w:ascii="Arial" w:eastAsia="Times New Roman" w:hAnsi="Arial" w:cs="Arial"/>
                <w:color w:val="000000"/>
                <w:sz w:val="18"/>
                <w:szCs w:val="18"/>
                <w:lang w:val="en-US" w:eastAsia="pt-PT"/>
              </w:rPr>
              <w:fldChar w:fldCharType="end"/>
            </w:r>
          </w:p>
        </w:tc>
        <w:tc>
          <w:tcPr>
            <w:tcW w:w="709" w:type="dxa"/>
            <w:noWrap/>
            <w:hideMark/>
          </w:tcPr>
          <w:p w14:paraId="49DA0E2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36</w:t>
            </w:r>
          </w:p>
        </w:tc>
        <w:tc>
          <w:tcPr>
            <w:tcW w:w="650" w:type="dxa"/>
            <w:noWrap/>
            <w:hideMark/>
          </w:tcPr>
          <w:p w14:paraId="4D5E81C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w:t>
            </w:r>
          </w:p>
        </w:tc>
        <w:tc>
          <w:tcPr>
            <w:tcW w:w="517" w:type="dxa"/>
            <w:noWrap/>
            <w:hideMark/>
          </w:tcPr>
          <w:p w14:paraId="3DA4A5C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w:t>
            </w:r>
          </w:p>
        </w:tc>
        <w:tc>
          <w:tcPr>
            <w:tcW w:w="767" w:type="dxa"/>
            <w:noWrap/>
            <w:hideMark/>
          </w:tcPr>
          <w:p w14:paraId="7079776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21</w:t>
            </w:r>
          </w:p>
        </w:tc>
        <w:tc>
          <w:tcPr>
            <w:tcW w:w="695" w:type="dxa"/>
            <w:noWrap/>
            <w:hideMark/>
          </w:tcPr>
          <w:p w14:paraId="7EE65A4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18-29</w:t>
            </w:r>
          </w:p>
        </w:tc>
        <w:tc>
          <w:tcPr>
            <w:tcW w:w="1907" w:type="dxa"/>
            <w:noWrap/>
            <w:hideMark/>
          </w:tcPr>
          <w:p w14:paraId="6622F225"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Sentences</w:t>
            </w:r>
          </w:p>
        </w:tc>
        <w:tc>
          <w:tcPr>
            <w:tcW w:w="445" w:type="dxa"/>
            <w:noWrap/>
            <w:hideMark/>
          </w:tcPr>
          <w:p w14:paraId="65B05BD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1681" w:type="dxa"/>
            <w:noWrap/>
            <w:hideMark/>
          </w:tcPr>
          <w:p w14:paraId="39C1391A"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1.5T </w:t>
            </w:r>
            <w:proofErr w:type="spellStart"/>
            <w:r w:rsidRPr="00101744">
              <w:rPr>
                <w:rFonts w:ascii="Arial" w:eastAsia="Times New Roman" w:hAnsi="Arial" w:cs="Arial"/>
                <w:color w:val="000000"/>
                <w:sz w:val="18"/>
                <w:szCs w:val="18"/>
                <w:lang w:val="en-US" w:eastAsia="pt-PT"/>
              </w:rPr>
              <w:t>Shymphony</w:t>
            </w:r>
            <w:proofErr w:type="spellEnd"/>
            <w:r w:rsidRPr="00101744">
              <w:rPr>
                <w:rFonts w:ascii="Arial" w:eastAsia="Times New Roman" w:hAnsi="Arial" w:cs="Arial"/>
                <w:color w:val="000000"/>
                <w:sz w:val="18"/>
                <w:szCs w:val="18"/>
                <w:lang w:val="en-US" w:eastAsia="pt-PT"/>
              </w:rPr>
              <w:t xml:space="preserve"> Siemens</w:t>
            </w:r>
          </w:p>
        </w:tc>
        <w:tc>
          <w:tcPr>
            <w:tcW w:w="1547" w:type="dxa"/>
            <w:noWrap/>
            <w:hideMark/>
          </w:tcPr>
          <w:p w14:paraId="44B8720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72FBAA12"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3BB8567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4000</w:t>
            </w:r>
          </w:p>
        </w:tc>
        <w:tc>
          <w:tcPr>
            <w:tcW w:w="1146" w:type="dxa"/>
            <w:noWrap/>
            <w:hideMark/>
          </w:tcPr>
          <w:p w14:paraId="29DA230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w:t>
            </w:r>
          </w:p>
        </w:tc>
      </w:tr>
      <w:tr w:rsidR="003D1F45" w:rsidRPr="00101744" w14:paraId="11C062AD" w14:textId="77777777" w:rsidTr="00B60BB2">
        <w:trPr>
          <w:trHeight w:val="300"/>
        </w:trPr>
        <w:tc>
          <w:tcPr>
            <w:tcW w:w="2269" w:type="dxa"/>
            <w:noWrap/>
            <w:vAlign w:val="center"/>
            <w:hideMark/>
          </w:tcPr>
          <w:p w14:paraId="766DCB48" w14:textId="2D68B655"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{"citationItems":[{"id":"ITEM-1","itemData":{"DOI":"10.1016/j.neuroimage.2009.06.032","ISSN":"10538119","PMID":"19540923","abstract":"This study investigates the neuro-cognitive mechanisms employed to monitor and resolve conflicts between competing sentential representations during sentence comprehension. Participants took part in a sentence comprehension task as well as the flanker and the color-word Stroop tasks while their brain activities were scanned with fMRI. Medial superior frontal gyrus (mSFG), left inferior frontal gyrus (IFG), and left angular gyrus/inferior parietal lobule (AG/IPL) were more activated for implausible sentences, in which syntactic processes and semantic strategies give rise to incompatible sentential representations, as compared with plausible sentences, in which syntactic processes and semantic strategies point to coherent interpretations. Among them, dorsal mSFG, left IFG, and left IPL constantly responded to the plausibility in sentence comprehension and the congruency in the two perceptual tasks, while anterior mSFG and left AG were specifically sensitive to the sentence plausibility. These results suggest that the domain-general mechanisms of executive control are recruited to deal with conflicts between representations of linguistic inputs.","author":[{"dropping-particle":"","family":"Ye","given":"Zheng","non-droppi</w:instrText>
            </w:r>
            <w:r w:rsidR="00C14016">
              <w:rPr>
                <w:rFonts w:ascii="Arial" w:hAnsi="Arial" w:cs="Arial"/>
                <w:color w:val="000000"/>
                <w:sz w:val="18"/>
                <w:szCs w:val="18"/>
                <w:lang w:eastAsia="pt-PT"/>
              </w:rPr>
              <w:instrText>ng-particle":"","parse-names":false,"suffix":""},{"dropping-particle":"","family":"Zhou","given":"Xiaolin","non-dropping-particle":"","parse-names":false,"suffix":""}],"container-title":"NeuroImage","id":"ITEM-1","issue":"1","issued":{"date-parts":[["2009","10","15"]]},"page":"280-290","title":"Conflict control during sentence comprehension: fMRI evidence","type":"article-journal","volume":"48"},"uris":["http://www.mendeley.com/documents/?uuid=92ee48b1-d586-3961-8a37-a92a73b74d55"]}],"mendeley":{"formattedCitation":"(Ye and Zhou 2009)","plainTextFormattedCitation":"(Ye and Zhou 2009)","previouslyFormattedCitation":"&lt;sup&gt;13&lt;/sup&gt;"},"properties":{"noteIndex":0},"schema":"https://github.com/citation-style-language/schema/raw/master/csl-citation.json"}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(Ye and Zhou 2009)</w:t>
            </w:r>
            <w:r w:rsidRPr="00101744">
              <w:rPr>
                <w:rFonts w:ascii="Arial" w:eastAsia="Times New Roman" w:hAnsi="Arial" w:cs="Arial"/>
                <w:color w:val="000000"/>
                <w:sz w:val="18"/>
                <w:szCs w:val="18"/>
                <w:lang w:val="en-US" w:eastAsia="pt-PT"/>
              </w:rPr>
              <w:fldChar w:fldCharType="end"/>
            </w:r>
          </w:p>
        </w:tc>
        <w:tc>
          <w:tcPr>
            <w:tcW w:w="709" w:type="dxa"/>
            <w:noWrap/>
            <w:hideMark/>
          </w:tcPr>
          <w:p w14:paraId="6D1C7EF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19</w:t>
            </w:r>
          </w:p>
        </w:tc>
        <w:tc>
          <w:tcPr>
            <w:tcW w:w="650" w:type="dxa"/>
            <w:noWrap/>
            <w:hideMark/>
          </w:tcPr>
          <w:p w14:paraId="793ED21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7</w:t>
            </w:r>
          </w:p>
        </w:tc>
        <w:tc>
          <w:tcPr>
            <w:tcW w:w="517" w:type="dxa"/>
            <w:noWrap/>
            <w:hideMark/>
          </w:tcPr>
          <w:p w14:paraId="7A0DD36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767" w:type="dxa"/>
            <w:noWrap/>
            <w:hideMark/>
          </w:tcPr>
          <w:p w14:paraId="7F731E2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21</w:t>
            </w:r>
          </w:p>
        </w:tc>
        <w:tc>
          <w:tcPr>
            <w:tcW w:w="695" w:type="dxa"/>
            <w:noWrap/>
            <w:hideMark/>
          </w:tcPr>
          <w:p w14:paraId="7E58D05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19-23</w:t>
            </w:r>
          </w:p>
        </w:tc>
        <w:tc>
          <w:tcPr>
            <w:tcW w:w="1907" w:type="dxa"/>
            <w:noWrap/>
            <w:hideMark/>
          </w:tcPr>
          <w:p w14:paraId="303DF539"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words / semantic discrimination</w:t>
            </w:r>
          </w:p>
        </w:tc>
        <w:tc>
          <w:tcPr>
            <w:tcW w:w="445" w:type="dxa"/>
            <w:noWrap/>
            <w:hideMark/>
          </w:tcPr>
          <w:p w14:paraId="53F54E2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c>
          <w:tcPr>
            <w:tcW w:w="1681" w:type="dxa"/>
            <w:noWrap/>
            <w:hideMark/>
          </w:tcPr>
          <w:p w14:paraId="04C4A5E3"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3T Trio Siemens</w:t>
            </w:r>
          </w:p>
        </w:tc>
        <w:tc>
          <w:tcPr>
            <w:tcW w:w="1547" w:type="dxa"/>
            <w:noWrap/>
            <w:hideMark/>
          </w:tcPr>
          <w:p w14:paraId="071C95E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SPM5</w:t>
            </w:r>
          </w:p>
        </w:tc>
        <w:tc>
          <w:tcPr>
            <w:tcW w:w="1855" w:type="dxa"/>
            <w:noWrap/>
            <w:hideMark/>
          </w:tcPr>
          <w:p w14:paraId="6EAFD812"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6B010ED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6" w:type="dxa"/>
            <w:noWrap/>
            <w:hideMark/>
          </w:tcPr>
          <w:p w14:paraId="22A43CE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r>
      <w:tr w:rsidR="003D1F45" w:rsidRPr="00101744" w14:paraId="7477F35E" w14:textId="77777777" w:rsidTr="00B60BB2">
        <w:trPr>
          <w:trHeight w:val="300"/>
        </w:trPr>
        <w:tc>
          <w:tcPr>
            <w:tcW w:w="2269" w:type="dxa"/>
            <w:noWrap/>
            <w:vAlign w:val="center"/>
            <w:hideMark/>
          </w:tcPr>
          <w:p w14:paraId="1C963FA5" w14:textId="1B8E7BA4"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{"citationItems":[{"id":"ITEM-1","itemData":{"DOI":"10.1038/89551","ISSN":"10976256","PMID":"11426233","abstract":"We used functional magnetic resonance imaging (fMRI) and event-related potentials (ERPs) to visualize the cerebral processing of unseen masked words. Within the areas associated with conscious reading, masked words activated left extrastriate, fusiform and precentral areas. Furthermore, masked words reduced the amount of activation evoked by a subsequent conscious presentation of the same word. In the left fusiform gyrus, this repetition suppression phenomenon was independent of whether the prime and target shared the same case, indicating that case-independent information about letter strings was extracted unconsciously. In comparison to an unmasked situation, however, the activation evoked by masked words was drastically reduced and was undetectable in prefrontal and parietal areas, correlating with participants' inability to report the masked words.","author":[{"dropping-particle":"","family":"Dehaene","given":"Stanislas","non-dropping-particle":"","parse-names":false,"suffix":""},{"dropping-particle":"","family":"Naccache","given":"Lionel","non-dropping-particle":"","parse-names":false,"suffix":""},{"dropping-particle":"","family":"Cohen","given":"Laurent","non-dropping-particle":"","parse-names":false,"suffix":""},{"dropping-particle":"Le","family":"Bihan","given":"Denis","non-dropping-particle":"","parse-names":false,"suffix":""},{"dropping-particle":"","family":"Mangin","given":"Jean-François","non-dropping-particle":"","parse-names":false,"suffix":""},{"dropping-particle":"","family":"Poline","given":"Jean-Baptiste","non-dropping-particle":"","parse-names":false,"suffix":""},{"dropping-particle":"","family":"Rivière","given":"Denis","non-dropping-particle":"","parse-names":false,"suffix":""}],"container-title":"Nature Neuroscience","id":"ITEM-1","issue":"7","issued":{"date-parts":[["2001","7","1"]]},"page":"752-758","title":"Cerebral mechanisms of word masking and unconscious repetition priming.","type":"article-journal","volume":"4"},"uris":["http://www.mendeley.com/documents/?uuid=d666fc6a-a997-316b-8392-2f47d0942af2"]}],"mendeley":{"formattedCitation":"(Stanislas Dehaene et al. 2001)","plainTextFormattedCitation":"(Stanislas Dehaene et al. 2001)","previouslyFormattedCitation":"&lt;sup&gt;14&lt;/sup&gt;"},"properties":{"noteIndex":0},"schema":"https://github.com/citation-style-language/schema/raw/master/csl-citation.json"}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(Stanislas Dehaene et al. 2001)</w:t>
            </w:r>
            <w:r w:rsidRPr="00101744">
              <w:rPr>
                <w:rFonts w:ascii="Arial" w:eastAsia="Times New Roman" w:hAnsi="Arial" w:cs="Arial"/>
                <w:color w:val="000000"/>
                <w:sz w:val="18"/>
                <w:szCs w:val="18"/>
                <w:lang w:val="en-US" w:eastAsia="pt-PT"/>
              </w:rPr>
              <w:fldChar w:fldCharType="end"/>
            </w:r>
          </w:p>
        </w:tc>
        <w:tc>
          <w:tcPr>
            <w:tcW w:w="709" w:type="dxa"/>
            <w:noWrap/>
            <w:hideMark/>
          </w:tcPr>
          <w:p w14:paraId="4B146AA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37</w:t>
            </w:r>
          </w:p>
        </w:tc>
        <w:tc>
          <w:tcPr>
            <w:tcW w:w="650" w:type="dxa"/>
            <w:noWrap/>
            <w:hideMark/>
          </w:tcPr>
          <w:p w14:paraId="694BFD47"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517" w:type="dxa"/>
            <w:noWrap/>
            <w:hideMark/>
          </w:tcPr>
          <w:p w14:paraId="2340759F" w14:textId="77777777" w:rsidR="003D1F45" w:rsidRPr="00101744" w:rsidRDefault="003D1F45" w:rsidP="00B60BB2">
            <w:pPr>
              <w:jc w:val="center"/>
              <w:rPr>
                <w:rFonts w:ascii="Arial" w:eastAsia="Times New Roman" w:hAnsi="Arial" w:cs="Arial"/>
                <w:sz w:val="18"/>
                <w:szCs w:val="18"/>
                <w:lang w:val="en-US" w:eastAsia="pt-PT"/>
              </w:rPr>
            </w:pPr>
          </w:p>
        </w:tc>
        <w:tc>
          <w:tcPr>
            <w:tcW w:w="767" w:type="dxa"/>
            <w:noWrap/>
            <w:hideMark/>
          </w:tcPr>
          <w:p w14:paraId="7AED0CA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23</w:t>
            </w:r>
          </w:p>
        </w:tc>
        <w:tc>
          <w:tcPr>
            <w:tcW w:w="695" w:type="dxa"/>
            <w:noWrap/>
            <w:hideMark/>
          </w:tcPr>
          <w:p w14:paraId="730B763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19-34</w:t>
            </w:r>
          </w:p>
        </w:tc>
        <w:tc>
          <w:tcPr>
            <w:tcW w:w="1907" w:type="dxa"/>
            <w:noWrap/>
            <w:hideMark/>
          </w:tcPr>
          <w:p w14:paraId="19C27565"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(covert)</w:t>
            </w:r>
          </w:p>
        </w:tc>
        <w:tc>
          <w:tcPr>
            <w:tcW w:w="445" w:type="dxa"/>
            <w:noWrap/>
            <w:hideMark/>
          </w:tcPr>
          <w:p w14:paraId="541E68B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w:t>
            </w:r>
          </w:p>
        </w:tc>
        <w:tc>
          <w:tcPr>
            <w:tcW w:w="1681" w:type="dxa"/>
            <w:noWrap/>
            <w:hideMark/>
          </w:tcPr>
          <w:p w14:paraId="2DA38008"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3T Bruker</w:t>
            </w:r>
          </w:p>
        </w:tc>
        <w:tc>
          <w:tcPr>
            <w:tcW w:w="1547" w:type="dxa"/>
            <w:noWrap/>
            <w:hideMark/>
          </w:tcPr>
          <w:p w14:paraId="7473870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0F10D6E4"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voxelwise</w:t>
            </w:r>
            <w:proofErr w:type="spellEnd"/>
            <w:r w:rsidRPr="00101744">
              <w:rPr>
                <w:rFonts w:ascii="Arial" w:eastAsia="Times New Roman" w:hAnsi="Arial" w:cs="Arial"/>
                <w:color w:val="000000"/>
                <w:sz w:val="18"/>
                <w:szCs w:val="18"/>
                <w:lang w:val="en-US" w:eastAsia="pt-PT"/>
              </w:rPr>
              <w:t xml:space="preserve"> threshold p&lt;0.001</w:t>
            </w:r>
          </w:p>
        </w:tc>
        <w:tc>
          <w:tcPr>
            <w:tcW w:w="717" w:type="dxa"/>
            <w:noWrap/>
            <w:hideMark/>
          </w:tcPr>
          <w:p w14:paraId="1410A24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2400</w:t>
            </w:r>
          </w:p>
        </w:tc>
        <w:tc>
          <w:tcPr>
            <w:tcW w:w="1146" w:type="dxa"/>
            <w:noWrap/>
            <w:hideMark/>
          </w:tcPr>
          <w:p w14:paraId="5D2F23A9" w14:textId="77777777" w:rsidR="003D1F45" w:rsidRPr="00101744" w:rsidRDefault="003D1F45" w:rsidP="00B60BB2">
            <w:pPr>
              <w:jc w:val="center"/>
              <w:rPr>
                <w:rFonts w:ascii="Arial" w:eastAsia="Times New Roman" w:hAnsi="Arial" w:cs="Arial"/>
                <w:color w:val="000000"/>
                <w:sz w:val="18"/>
                <w:szCs w:val="18"/>
                <w:lang w:val="en-US" w:eastAsia="pt-PT"/>
              </w:rPr>
            </w:pPr>
          </w:p>
        </w:tc>
      </w:tr>
      <w:tr w:rsidR="003D1F45" w:rsidRPr="00101744" w14:paraId="6CA3E0C9" w14:textId="77777777" w:rsidTr="00B60BB2">
        <w:trPr>
          <w:trHeight w:val="300"/>
        </w:trPr>
        <w:tc>
          <w:tcPr>
            <w:tcW w:w="2269" w:type="dxa"/>
            <w:noWrap/>
            <w:vAlign w:val="center"/>
            <w:hideMark/>
          </w:tcPr>
          <w:p w14:paraId="38C04958" w14:textId="5E2B11DF"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{"citationItems":[{"id":"ITEM-1","itemData":{"DOI":"10.1006/nimg.2001.0893","ISSN":"10538119","PMID":"11697946","abstract":"A recent theoretical account delineated the role of the anterior cingulate cortex (ACC) in cognitive control as the detection of conflict between competing information streams. Using functional magnetic resonance imaging, we examined the activity of this brain structure during different forms and degrees of conflict between the word and the color dimensions of Stroop stimuli. Overall, our results showed a dissociation between the degree of conflict and ACC activation. More specifically, although ACC activation was very extensive when print color interfered with word reading performance, the level of conflict, as measured by reaction time costs, was only moderate compared to other conditions. These results suggest that either the ACC is differentially sensitive to various types of conflict or its function should be extended to include other cognitive constructs, such as resolution of prior inhibition.","author":[{"dropping-particle":"","family":"Ruff","given":"Christian C.","non-dropping-particle":"","parse-names":false,"suffix":""},{"dropping-particle":"","family":"Woodward","given":"Todd S.","non-dropping-particle":"","parse-names":false,"suffix":""},{"dropping-particle":"","family":"Laurens","given":"Kristin R.","non-dropping-particle":"","parse-names":false,"suffix":""},{"dropping-particle":"","family":"Liddle","given":"Peter F.","non-dropping-particle":"","parse-names":false,"suffix":""}],"container-title":"NeuroImage","id":"ITEM-1","issue":"5","issued":{"date-parts":[["2001","11"]]},"page":"1150-1158","title":"The Role of the Anterior Cingulate Cortex in Conflict Processing: Evidence from Reverse Stroop Interference","type":"article-journal","volume":"14"},"uris":["http://www.mendeley.com/documents/?uuid=f5b605d7-5cb6-3f04-9aa9-26f311177fc6"]}],"mendeley":{"formattedCitation":"(Ruff et al. 2001)","plainTextFormattedCitation":"(Ruff et al. 2001)","previouslyFormattedCitation":"&lt;sup&gt;15&lt;/sup&gt;"},"properties":{"noteIndex":0},"schema":"https://github.com/citation-style-language/schema/raw/master/csl-citation.json"}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(Ruff et al. 2001)</w:t>
            </w:r>
            <w:r w:rsidRPr="00101744">
              <w:rPr>
                <w:rFonts w:ascii="Arial" w:eastAsia="Times New Roman" w:hAnsi="Arial" w:cs="Arial"/>
                <w:color w:val="000000"/>
                <w:sz w:val="18"/>
                <w:szCs w:val="18"/>
                <w:lang w:val="en-US" w:eastAsia="pt-PT"/>
              </w:rPr>
              <w:fldChar w:fldCharType="end"/>
            </w:r>
          </w:p>
        </w:tc>
        <w:tc>
          <w:tcPr>
            <w:tcW w:w="709" w:type="dxa"/>
            <w:noWrap/>
            <w:hideMark/>
          </w:tcPr>
          <w:p w14:paraId="43CA99E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4E7ED9B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w:t>
            </w:r>
          </w:p>
        </w:tc>
        <w:tc>
          <w:tcPr>
            <w:tcW w:w="517" w:type="dxa"/>
            <w:noWrap/>
            <w:hideMark/>
          </w:tcPr>
          <w:p w14:paraId="7373B83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w:t>
            </w:r>
          </w:p>
        </w:tc>
        <w:tc>
          <w:tcPr>
            <w:tcW w:w="767" w:type="dxa"/>
            <w:noWrap/>
            <w:hideMark/>
          </w:tcPr>
          <w:p w14:paraId="396F1BA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23</w:t>
            </w:r>
          </w:p>
        </w:tc>
        <w:tc>
          <w:tcPr>
            <w:tcW w:w="695" w:type="dxa"/>
            <w:noWrap/>
            <w:hideMark/>
          </w:tcPr>
          <w:p w14:paraId="7684B14D"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907" w:type="dxa"/>
            <w:noWrap/>
            <w:hideMark/>
          </w:tcPr>
          <w:p w14:paraId="5B92DCCB"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(covert)</w:t>
            </w:r>
          </w:p>
        </w:tc>
        <w:tc>
          <w:tcPr>
            <w:tcW w:w="445" w:type="dxa"/>
            <w:noWrap/>
            <w:hideMark/>
          </w:tcPr>
          <w:p w14:paraId="2C2D417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23</w:t>
            </w:r>
          </w:p>
        </w:tc>
        <w:tc>
          <w:tcPr>
            <w:tcW w:w="1681" w:type="dxa"/>
            <w:noWrap/>
            <w:hideMark/>
          </w:tcPr>
          <w:p w14:paraId="5F357DBF"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1.5T Horizon GE</w:t>
            </w:r>
          </w:p>
        </w:tc>
        <w:tc>
          <w:tcPr>
            <w:tcW w:w="1547" w:type="dxa"/>
            <w:noWrap/>
            <w:hideMark/>
          </w:tcPr>
          <w:p w14:paraId="2225EA7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23A0CE85"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Pcorr</w:t>
            </w:r>
            <w:proofErr w:type="spellEnd"/>
            <w:r w:rsidRPr="00101744">
              <w:rPr>
                <w:rFonts w:ascii="Arial" w:eastAsia="Times New Roman" w:hAnsi="Arial" w:cs="Arial"/>
                <w:color w:val="000000"/>
                <w:sz w:val="18"/>
                <w:szCs w:val="18"/>
                <w:lang w:val="en-US" w:eastAsia="pt-PT"/>
              </w:rPr>
              <w:t>&lt;0.05</w:t>
            </w:r>
          </w:p>
        </w:tc>
        <w:tc>
          <w:tcPr>
            <w:tcW w:w="717" w:type="dxa"/>
            <w:noWrap/>
            <w:hideMark/>
          </w:tcPr>
          <w:p w14:paraId="6B1F7E6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3000</w:t>
            </w:r>
          </w:p>
        </w:tc>
        <w:tc>
          <w:tcPr>
            <w:tcW w:w="1146" w:type="dxa"/>
            <w:noWrap/>
            <w:hideMark/>
          </w:tcPr>
          <w:p w14:paraId="32406D0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3.75</w:t>
            </w:r>
          </w:p>
        </w:tc>
      </w:tr>
      <w:tr w:rsidR="003D1F45" w:rsidRPr="00101744" w14:paraId="7F4AEC17" w14:textId="77777777" w:rsidTr="00B60BB2">
        <w:trPr>
          <w:trHeight w:val="300"/>
        </w:trPr>
        <w:tc>
          <w:tcPr>
            <w:tcW w:w="2269" w:type="dxa"/>
            <w:noWrap/>
            <w:vAlign w:val="center"/>
            <w:hideMark/>
          </w:tcPr>
          <w:p w14:paraId="65F37C26" w14:textId="75A76A25"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{"citationItems":[{"id":"ITEM-1","itemData":{"DOI":"10.1006/nimg.1999.0493","ISSN":"10538119","PMID":"10547332","abstract":"Most neuroimaging studies of language function to date use a block-subtraction paradigm in which images acquired during relatively long periods of target stimuli are compared to those acquired during a control period. These studies typically require an overt response on the part of the subject, usually some type of discrimination or grammatical judgment by button press, or silent word generation. Results from studies of syntactic and semantic processing have generally been compatible with the classical correlation to Broca's area and Wernicke's area, respectively. Recently, functional magnetic resonance imaging (fMRI) studies departing from the block-subtraction paradigm in favor of event-related fMRI paradigms have been reported. We have extended the use of this approach to examine implicit (i.e., without an explicit task on the part of the subject) syntactic and semantic processing at the phrasal level, using visually presented verb phrases. Left BA 44 is more strongly activated for the syntactic condition than the semantic condition. BA 45, 10, and 46 show laterality differences: mostly left-lateralized for the syntactic condition and right-lateralized for the semantic condition. We also find activations of the inferior parietal lobe, consistent with a visual oddball response reported previously, and the anterior cingulate gyrus (BA 32), implicated for attention and memory-related processes in numerous studies.","author":[{"dropping-particle":"","family":"Kang","given":"A.Min","non-dropping-particle":"","parse-names":false,"suffix":""},{"dropping-particle":"","family":"Constable","given":"R.Todd","non-dropping-particle":"","parse-names":false,"suffix":""},{"dropping-particle":"","family":"Gore","given":"John C.","non-dropping-particle":"","parse-names":false,"suffix":""},{"dropping-particle":"","family":"Avrutin","given":"Sergey","non-dropping-particle":"","parse-names":false,"suffix":""}],"container-title":"NeuroImage","id":"ITEM-1","issue":"5","issued":{"date-parts":[["1999","11"]]},"page":"555-561","title":"An Event-Related fMRI Study of Implicit Phrase-Level Syntactic and Semantic Processing","type":"article-journal","volume":"10"},"uris":["http://www.mendeley.com/documents/?uuid=788db657-b75e-3f4f-b7f2-2f70f1d579ca"]}],"mendeley":{"formattedCitation":"(Kang et al. 1999)","plainTextFormattedCitation":"(Kang et al. 1999)","previouslyFormattedCitation":"&lt;sup&gt;16&lt;/sup&gt;"},"properties":{"noteIndex":0},"schema":"https://github.com/citation-style-language/schema/raw/master/csl-citation.json"}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(Kang et al. 1999)</w:t>
            </w:r>
            <w:r w:rsidRPr="00101744">
              <w:rPr>
                <w:rFonts w:ascii="Arial" w:eastAsia="Times New Roman" w:hAnsi="Arial" w:cs="Arial"/>
                <w:color w:val="000000"/>
                <w:sz w:val="18"/>
                <w:szCs w:val="18"/>
                <w:lang w:val="en-US" w:eastAsia="pt-PT"/>
              </w:rPr>
              <w:fldChar w:fldCharType="end"/>
            </w:r>
          </w:p>
        </w:tc>
        <w:tc>
          <w:tcPr>
            <w:tcW w:w="709" w:type="dxa"/>
            <w:noWrap/>
            <w:hideMark/>
          </w:tcPr>
          <w:p w14:paraId="48EEA4D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14</w:t>
            </w:r>
          </w:p>
        </w:tc>
        <w:tc>
          <w:tcPr>
            <w:tcW w:w="650" w:type="dxa"/>
            <w:noWrap/>
            <w:hideMark/>
          </w:tcPr>
          <w:p w14:paraId="06364FD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w:t>
            </w:r>
          </w:p>
        </w:tc>
        <w:tc>
          <w:tcPr>
            <w:tcW w:w="517" w:type="dxa"/>
            <w:noWrap/>
            <w:hideMark/>
          </w:tcPr>
          <w:p w14:paraId="6CA23B2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9</w:t>
            </w:r>
          </w:p>
        </w:tc>
        <w:tc>
          <w:tcPr>
            <w:tcW w:w="767" w:type="dxa"/>
            <w:noWrap/>
            <w:hideMark/>
          </w:tcPr>
          <w:p w14:paraId="26C53D8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21</w:t>
            </w:r>
          </w:p>
        </w:tc>
        <w:tc>
          <w:tcPr>
            <w:tcW w:w="695" w:type="dxa"/>
            <w:noWrap/>
            <w:hideMark/>
          </w:tcPr>
          <w:p w14:paraId="77D5905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18-26</w:t>
            </w:r>
          </w:p>
        </w:tc>
        <w:tc>
          <w:tcPr>
            <w:tcW w:w="1907" w:type="dxa"/>
            <w:noWrap/>
            <w:hideMark/>
          </w:tcPr>
          <w:p w14:paraId="570F844B"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(covert)</w:t>
            </w:r>
          </w:p>
        </w:tc>
        <w:tc>
          <w:tcPr>
            <w:tcW w:w="445" w:type="dxa"/>
            <w:noWrap/>
            <w:hideMark/>
          </w:tcPr>
          <w:p w14:paraId="095302B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14</w:t>
            </w:r>
          </w:p>
        </w:tc>
        <w:tc>
          <w:tcPr>
            <w:tcW w:w="1681" w:type="dxa"/>
            <w:noWrap/>
            <w:hideMark/>
          </w:tcPr>
          <w:p w14:paraId="509B2B26"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1.5T </w:t>
            </w:r>
            <w:proofErr w:type="spellStart"/>
            <w:r w:rsidRPr="00101744">
              <w:rPr>
                <w:rFonts w:ascii="Arial" w:eastAsia="Times New Roman" w:hAnsi="Arial" w:cs="Arial"/>
                <w:color w:val="000000"/>
                <w:sz w:val="18"/>
                <w:szCs w:val="18"/>
                <w:lang w:val="en-US" w:eastAsia="pt-PT"/>
              </w:rPr>
              <w:t>Signa</w:t>
            </w:r>
            <w:proofErr w:type="spellEnd"/>
            <w:r w:rsidRPr="00101744">
              <w:rPr>
                <w:rFonts w:ascii="Arial" w:eastAsia="Times New Roman" w:hAnsi="Arial" w:cs="Arial"/>
                <w:color w:val="000000"/>
                <w:sz w:val="18"/>
                <w:szCs w:val="18"/>
                <w:lang w:val="en-US" w:eastAsia="pt-PT"/>
              </w:rPr>
              <w:t xml:space="preserve"> GE</w:t>
            </w:r>
          </w:p>
        </w:tc>
        <w:tc>
          <w:tcPr>
            <w:tcW w:w="1547" w:type="dxa"/>
            <w:noWrap/>
            <w:hideMark/>
          </w:tcPr>
          <w:p w14:paraId="6BD32B6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RSVP</w:t>
            </w:r>
          </w:p>
        </w:tc>
        <w:tc>
          <w:tcPr>
            <w:tcW w:w="1855" w:type="dxa"/>
            <w:noWrap/>
            <w:hideMark/>
          </w:tcPr>
          <w:p w14:paraId="1F348C53"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&lt;0.05</w:t>
            </w:r>
          </w:p>
        </w:tc>
        <w:tc>
          <w:tcPr>
            <w:tcW w:w="717" w:type="dxa"/>
            <w:noWrap/>
            <w:hideMark/>
          </w:tcPr>
          <w:p w14:paraId="3DF7FC5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1050</w:t>
            </w:r>
          </w:p>
        </w:tc>
        <w:tc>
          <w:tcPr>
            <w:tcW w:w="1146" w:type="dxa"/>
            <w:noWrap/>
            <w:hideMark/>
          </w:tcPr>
          <w:p w14:paraId="6D981AD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r>
      <w:tr w:rsidR="003D1F45" w:rsidRPr="00101744" w14:paraId="199FFBFC" w14:textId="77777777" w:rsidTr="00B60BB2">
        <w:trPr>
          <w:trHeight w:val="300"/>
        </w:trPr>
        <w:tc>
          <w:tcPr>
            <w:tcW w:w="2269" w:type="dxa"/>
            <w:noWrap/>
            <w:vAlign w:val="center"/>
            <w:hideMark/>
          </w:tcPr>
          <w:p w14:paraId="785038E5" w14:textId="09564ECF"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{"citationItems":[{"id":"ITEM-1","itemData":{"DOI":"10.1016/j.neuroimage.2003.07.029","ISBN":"1053-8119","ISSN":"10538119","PMID":"14683721","abstract":"To investigate the hypothesis that in multilingual speakers different languages are represented in distinct brain regions, 12 multilingual right-handed men performed a word fluency task, a picture naming task, a comprehension reading task, and their respective control tasks in three languages (Dutch, French, and English) while whole-head functional magnetic resonance imaging (fMRI) was applied. In general, all language tasks revealed predominantly overlapping regions of activation for the different languages. Cerebral activation during use of the foreign languages showed a tendency toward a more extensive recruitment of the areas activated in the native language and the activation of a greater number of regions. Word generation in the foreign languages elicited additional bilateral inferior frontal activation, including Broca's area and left middle temporal gyrus activation; in the native language, additional postcentral activation was found. Picture naming in the foreign languages recruited additional inferior-lateral and medial frontal regions predominantly on the left, and more posterior right hemispheric activation in the mother tongue. During comprehension reading there was more activation in medial posterior regions in the native language. Our results suggest that the performance of language tasks in different languages engages largely the same cerebral areas but that the brain, to perform at a comparable proficiency level, engages more neural substrates for later acquired languages. Our findings do not support the view that languages learned later in life entail more right hemispheric involvement. Finally, a consequent effect of language exposure was found for reading, where increased familiarity engages more occipital activation whereas decreased familiarity appears to be associated with increased left hemispheric inferior frontal activation. © 2003 Elsevier Inc. All rights reserved.","author":[{"dropping-particle":"","family":"Vingerh</w:instrText>
            </w:r>
            <w:r w:rsidR="00C14016" w:rsidRPr="00C14016">
              <w:rPr>
                <w:rFonts w:ascii="Arial" w:hAnsi="Arial" w:cs="Arial"/>
                <w:color w:val="000000"/>
                <w:sz w:val="18"/>
                <w:szCs w:val="18"/>
                <w:lang w:val="en-GB" w:eastAsia="pt-PT"/>
              </w:rPr>
              <w:instrText>oets","given":"Guy","non-dropping-particle":"","parse-names":false,"suffix":""},{"dropping-particle":"","family":"Borsel","given":"John","non-dropping-particle":"Van","parse-names":false,"suffix":""},{"dropping-particle":"","family":"Tesink","given":"Cathelijne","non-dropping-particle":"","parse-names":false,"suffix":""},{"dropping-particle":"","family":"Noort","given":"Maurits","non-dropping-particle":"Van Den","parse-names":false,"suffix":""},{"dropping-particle":"","family":"Deblaere","given":"Karel","non-dropping-particle":"","parse-names":false,"suffix":""},{"dropping-particle":"","family":"Seurinck","given":"Ruth","non-dropping-particle":"","parse-names":false,"suffix":""},{"dropping-particle":"","family":"Vandemaele","given":"Pieter","non-dropping-particle":"","parse-names":false,"suffix":""},{"dropping-particle":"","family":"Achten","given":"Eric","non-dropping-particle":"","parse-names":false,"suffix":""}],"container-title":"NeuroImage","id":"ITEM-1","issue":"4","issued":{"date-parts":[["2003","12"]]},"page":"2181-2196","title":"Multilingualism: An fMRI study","type":"article-journal","volume":"20"},"uris":["http://www.mendeley.com/documents/?uuid=3506b0ac-2e60-38d6-8c47-bdfcac049501"]}],"mendeley":{"formattedCitation":"(Vingerhoets et al. 2003)","plainTextFormattedCitation":"(Vingerhoets et al. 2003)","previouslyFormattedCitation":"&lt;sup&gt;17&lt;/sup&gt;"},"properties":{"noteIndex":0},"schema":"https://github.com/citation-style-language/schema/raw/master/csl-citation.json"}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(Vingerhoets et al. 2003)</w:t>
            </w:r>
            <w:r w:rsidRPr="00101744">
              <w:rPr>
                <w:rFonts w:ascii="Arial" w:eastAsia="Times New Roman" w:hAnsi="Arial" w:cs="Arial"/>
                <w:color w:val="000000"/>
                <w:sz w:val="18"/>
                <w:szCs w:val="18"/>
                <w:lang w:val="en-US" w:eastAsia="pt-PT"/>
              </w:rPr>
              <w:fldChar w:fldCharType="end"/>
            </w:r>
          </w:p>
        </w:tc>
        <w:tc>
          <w:tcPr>
            <w:tcW w:w="709" w:type="dxa"/>
            <w:noWrap/>
            <w:hideMark/>
          </w:tcPr>
          <w:p w14:paraId="38A3A3D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78D1A30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517" w:type="dxa"/>
            <w:noWrap/>
            <w:hideMark/>
          </w:tcPr>
          <w:p w14:paraId="1D67622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0</w:t>
            </w:r>
          </w:p>
        </w:tc>
        <w:tc>
          <w:tcPr>
            <w:tcW w:w="767" w:type="dxa"/>
            <w:noWrap/>
            <w:hideMark/>
          </w:tcPr>
          <w:p w14:paraId="222CAD7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28</w:t>
            </w:r>
          </w:p>
        </w:tc>
        <w:tc>
          <w:tcPr>
            <w:tcW w:w="695" w:type="dxa"/>
            <w:noWrap/>
            <w:hideMark/>
          </w:tcPr>
          <w:p w14:paraId="27074C0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19-49</w:t>
            </w:r>
          </w:p>
        </w:tc>
        <w:tc>
          <w:tcPr>
            <w:tcW w:w="1907" w:type="dxa"/>
            <w:noWrap/>
            <w:hideMark/>
          </w:tcPr>
          <w:p w14:paraId="5DFD73CD"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(covert)</w:t>
            </w:r>
          </w:p>
        </w:tc>
        <w:tc>
          <w:tcPr>
            <w:tcW w:w="445" w:type="dxa"/>
            <w:noWrap/>
            <w:hideMark/>
          </w:tcPr>
          <w:p w14:paraId="5F505A9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26</w:t>
            </w:r>
          </w:p>
        </w:tc>
        <w:tc>
          <w:tcPr>
            <w:tcW w:w="1681" w:type="dxa"/>
            <w:noWrap/>
            <w:hideMark/>
          </w:tcPr>
          <w:p w14:paraId="28B0018A"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1.5T </w:t>
            </w:r>
            <w:proofErr w:type="spellStart"/>
            <w:r w:rsidRPr="00101744">
              <w:rPr>
                <w:rFonts w:ascii="Arial" w:eastAsia="Times New Roman" w:hAnsi="Arial" w:cs="Arial"/>
                <w:color w:val="000000"/>
                <w:sz w:val="18"/>
                <w:szCs w:val="18"/>
                <w:lang w:val="en-US" w:eastAsia="pt-PT"/>
              </w:rPr>
              <w:t>Shymphony</w:t>
            </w:r>
            <w:proofErr w:type="spellEnd"/>
            <w:r w:rsidRPr="00101744">
              <w:rPr>
                <w:rFonts w:ascii="Arial" w:eastAsia="Times New Roman" w:hAnsi="Arial" w:cs="Arial"/>
                <w:color w:val="000000"/>
                <w:sz w:val="18"/>
                <w:szCs w:val="18"/>
                <w:lang w:val="en-US" w:eastAsia="pt-PT"/>
              </w:rPr>
              <w:t xml:space="preserve"> Siemens</w:t>
            </w:r>
          </w:p>
        </w:tc>
        <w:tc>
          <w:tcPr>
            <w:tcW w:w="1547" w:type="dxa"/>
            <w:noWrap/>
            <w:hideMark/>
          </w:tcPr>
          <w:p w14:paraId="0337C4D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0D86CD9D"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078AB64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3000</w:t>
            </w:r>
          </w:p>
        </w:tc>
        <w:tc>
          <w:tcPr>
            <w:tcW w:w="1146" w:type="dxa"/>
            <w:noWrap/>
            <w:hideMark/>
          </w:tcPr>
          <w:p w14:paraId="6F7FEC7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r>
      <w:tr w:rsidR="003D1F45" w:rsidRPr="00101744" w14:paraId="492AA167" w14:textId="77777777" w:rsidTr="00B60BB2">
        <w:trPr>
          <w:trHeight w:val="300"/>
        </w:trPr>
        <w:tc>
          <w:tcPr>
            <w:tcW w:w="2269" w:type="dxa"/>
            <w:noWrap/>
            <w:vAlign w:val="center"/>
            <w:hideMark/>
          </w:tcPr>
          <w:p w14:paraId="2992A92C" w14:textId="1E36EB2F"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val="en-GB" w:eastAsia="pt-PT"/>
              </w:rPr>
              <w:instrText>ADDIN CSL_CITATION {"citationItems":[{"id":"ITEM-1","itemData":{"DOI":"10.1039/C39760000599","ISBN":"1047-3211 (Print)$\\$r1047-3211 (Linking)","ISSN":"00224936","PMID":"14615297","abstract":"A new high-yield procedure for the oxidation to oxindoles of 3-substituted indoles, including tryptophan-containing peptides and proteins, involving the use of a mixture of dimethyl sulphoxide and concentrated HCl, is described.","author":[{"dropping-particle":"","family":"Savige","given":"W. E.","non-dropping-particle":"","parse-names":false,"suffix":""},{"dropping-particle":"","family":"Fontana","given":"A.","non-dropping-particle":"","parse-names":false,"suffix":""}],"container-title":"Journal of the Chemical Society, Chemical Communications","id":"ITEM-1","issue":"15","issued":{"date-parts":[["1976","12"]]},"page":"599-600","title":"New procedure for oxidation of 3-substituted indoles to oxindoles: Modification of tryptophan residues in peptides and proteins","type":"article-journal","volume":"13"},"uris":["http://www.mendeley.com/documents/?uuid=559c0e39-6fb0-3eb4-b43f-2123b8b0dc8b"]}],"mendeley":{"formattedCitation":"(Savige and Fontana 1976)","plainTextFormattedCitation":"(Savige and Fontana 1976)","previouslyFormattedCitation":"&lt;sup&gt;18&lt;/sup&gt;"},"properties":{"noteIndex":0},"schema":"https://github.com/citation-style-language/schema/raw/master/csl-citation.json"}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(Savige and Fontana 1976)</w:t>
            </w:r>
            <w:r w:rsidRPr="00101744">
              <w:rPr>
                <w:rFonts w:ascii="Arial" w:eastAsia="Times New Roman" w:hAnsi="Arial" w:cs="Arial"/>
                <w:color w:val="000000"/>
                <w:sz w:val="18"/>
                <w:szCs w:val="18"/>
                <w:lang w:val="en-US" w:eastAsia="pt-PT"/>
              </w:rPr>
              <w:fldChar w:fldCharType="end"/>
            </w:r>
          </w:p>
        </w:tc>
        <w:tc>
          <w:tcPr>
            <w:tcW w:w="709" w:type="dxa"/>
            <w:noWrap/>
            <w:hideMark/>
          </w:tcPr>
          <w:p w14:paraId="7A70C06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9</w:t>
            </w:r>
          </w:p>
        </w:tc>
        <w:tc>
          <w:tcPr>
            <w:tcW w:w="650" w:type="dxa"/>
            <w:noWrap/>
            <w:hideMark/>
          </w:tcPr>
          <w:p w14:paraId="5292B4F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w:t>
            </w:r>
          </w:p>
        </w:tc>
        <w:tc>
          <w:tcPr>
            <w:tcW w:w="517" w:type="dxa"/>
            <w:noWrap/>
            <w:hideMark/>
          </w:tcPr>
          <w:p w14:paraId="6136524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7</w:t>
            </w:r>
          </w:p>
        </w:tc>
        <w:tc>
          <w:tcPr>
            <w:tcW w:w="767" w:type="dxa"/>
            <w:noWrap/>
            <w:hideMark/>
          </w:tcPr>
          <w:p w14:paraId="7C0078F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60</w:t>
            </w:r>
          </w:p>
        </w:tc>
        <w:tc>
          <w:tcPr>
            <w:tcW w:w="695" w:type="dxa"/>
            <w:noWrap/>
            <w:hideMark/>
          </w:tcPr>
          <w:p w14:paraId="392D748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42-68</w:t>
            </w:r>
          </w:p>
        </w:tc>
        <w:tc>
          <w:tcPr>
            <w:tcW w:w="1907" w:type="dxa"/>
            <w:noWrap/>
            <w:hideMark/>
          </w:tcPr>
          <w:p w14:paraId="1FDBF599"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(covert)</w:t>
            </w:r>
          </w:p>
        </w:tc>
        <w:tc>
          <w:tcPr>
            <w:tcW w:w="445" w:type="dxa"/>
            <w:noWrap/>
            <w:hideMark/>
          </w:tcPr>
          <w:p w14:paraId="5469BBE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w:t>
            </w:r>
          </w:p>
        </w:tc>
        <w:tc>
          <w:tcPr>
            <w:tcW w:w="1681" w:type="dxa"/>
            <w:noWrap/>
            <w:hideMark/>
          </w:tcPr>
          <w:p w14:paraId="775A9E80"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1.5T </w:t>
            </w:r>
            <w:proofErr w:type="spellStart"/>
            <w:r w:rsidRPr="00101744">
              <w:rPr>
                <w:rFonts w:ascii="Arial" w:eastAsia="Times New Roman" w:hAnsi="Arial" w:cs="Arial"/>
                <w:color w:val="000000"/>
                <w:sz w:val="18"/>
                <w:szCs w:val="18"/>
                <w:lang w:val="en-US" w:eastAsia="pt-PT"/>
              </w:rPr>
              <w:t>Signa</w:t>
            </w:r>
            <w:proofErr w:type="spellEnd"/>
            <w:r w:rsidRPr="00101744">
              <w:rPr>
                <w:rFonts w:ascii="Arial" w:eastAsia="Times New Roman" w:hAnsi="Arial" w:cs="Arial"/>
                <w:color w:val="000000"/>
                <w:sz w:val="18"/>
                <w:szCs w:val="18"/>
                <w:lang w:val="en-US" w:eastAsia="pt-PT"/>
              </w:rPr>
              <w:t xml:space="preserve"> GE</w:t>
            </w:r>
          </w:p>
        </w:tc>
        <w:tc>
          <w:tcPr>
            <w:tcW w:w="1547" w:type="dxa"/>
            <w:noWrap/>
            <w:hideMark/>
          </w:tcPr>
          <w:p w14:paraId="6A7F91E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3B0E33FF"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voxelwise</w:t>
            </w:r>
            <w:proofErr w:type="spellEnd"/>
            <w:r w:rsidRPr="00101744">
              <w:rPr>
                <w:rFonts w:ascii="Arial" w:eastAsia="Times New Roman" w:hAnsi="Arial" w:cs="Arial"/>
                <w:color w:val="000000"/>
                <w:sz w:val="18"/>
                <w:szCs w:val="18"/>
                <w:lang w:val="en-US" w:eastAsia="pt-PT"/>
              </w:rPr>
              <w:t xml:space="preserve"> threshold p&lt;0.005</w:t>
            </w:r>
          </w:p>
        </w:tc>
        <w:tc>
          <w:tcPr>
            <w:tcW w:w="717" w:type="dxa"/>
            <w:noWrap/>
            <w:hideMark/>
          </w:tcPr>
          <w:p w14:paraId="2AEDA3F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2500</w:t>
            </w:r>
          </w:p>
        </w:tc>
        <w:tc>
          <w:tcPr>
            <w:tcW w:w="1146" w:type="dxa"/>
            <w:noWrap/>
            <w:hideMark/>
          </w:tcPr>
          <w:p w14:paraId="79B8FF6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3.75</w:t>
            </w:r>
          </w:p>
        </w:tc>
      </w:tr>
      <w:tr w:rsidR="003D1F45" w:rsidRPr="00101744" w14:paraId="642B23EC" w14:textId="77777777" w:rsidTr="00B60BB2">
        <w:trPr>
          <w:trHeight w:val="300"/>
        </w:trPr>
        <w:tc>
          <w:tcPr>
            <w:tcW w:w="2269" w:type="dxa"/>
            <w:noWrap/>
            <w:vAlign w:val="center"/>
            <w:hideMark/>
          </w:tcPr>
          <w:p w14:paraId="037ED2D9" w14:textId="411E8AF8"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lastRenderedPageBreak/>
              <w:fldChar w:fldCharType="begin" w:fldLock="1"/>
            </w:r>
            <w:r w:rsidR="00C14016">
              <w:rPr>
                <w:rFonts w:ascii="Arial" w:hAnsi="Arial" w:cs="Arial"/>
                <w:color w:val="000000"/>
                <w:sz w:val="18"/>
                <w:szCs w:val="18"/>
                <w:lang w:eastAsia="pt-PT"/>
              </w:rPr>
              <w:instrText>ADDIN CSL_CITATION {"citationItems":[{"id":"ITEM-1","itemData":{"DOI":"10.1016/j.neuroimage.2006.07.041","ISBN":"1053-8119 (Print)","ISSN":"10538119","PMID":"16990015","abstract":"It has been suggested that within the frontal cortex there is a lateral to medial shift in the control of action, with the lateral premotor area (PMA) involved in externally specified actions and the medial supplementary motor areas (SMA) involved in internally specified actions. Recent brain imaging studies demonstrate, however, that the control of externally and internally specified actions may involve more complex and overlapping networks involving not only the PMA and the SMA, but also the pre-SMA and the lateral prefrontal cortex (PFC). The aim of the present study was to determine whether these frontal regions are differentially involved in the production of verbal responses, when they are externally specified and when they are internally specified. Participants engaged in three overt speaking tasks in which the degree of response specification differed. The tasks involved reading aloud words (externally specified), or generating words aloud from narrow or broad semantic categories (internally specified). Using fMRI, the location and magnitude of the BOLD activity for these tasks was measured in a group of ten participants. Compared with rest, all tasks activated the primary motor area and the SMA-proper, reflecting their common role in speech production. The magnitude of the activity in the PFC (Brodmann area 45), the left PMAv and the pre-SMA increased for word generation, suggesting that each of these three regions plays a role in internally specified action selection. This confirms previous reports concerning the participation of the pre-SMA in verbal response selection. The pattern of activity in PMAv suggests participation in both externally and internally specified verbal actions. © 2006 Elsevier Inc. All rights reserved.","author":[{"dropping-particle":"","family":"Tremblay","given":"Pascale","non-dropping-particle":"","parse-names":false,"suffix":""},{"dropping-particle":"","family":"Gracco","given":"Vincent L.","non-dropping-particle":"","parse-names":false,"suffix":""}],"container-title":"NeuroImage","id":"ITEM-1","issue":"3","issued":{"date-parts":[["2006","11","15"]]},"page":"947-957","title":"Contribution of the frontal lobe to externally and internally specified verbal responses: fMRI evidence","type":"article-journal","volume":"33"},"uris":["http://www.mendeley.com/documents/?uuid=34359094-6663-3b89-b888-ac115823163d"]}],"mendeley":{"formattedCitation":"(Tremblay and Gracco 2006)","plainTextFormattedCitation":"(Tremblay and Gracco 2006)","previouslyFormattedCitation":"&lt;sup&gt;19&lt;/sup&gt;"},"properties":{"noteIndex":0},"schema":"https://github.com/citation-style-language/schema/raw/master/csl-citation.json"}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(Tremblay and Gracco 2006)</w:t>
            </w:r>
            <w:r w:rsidRPr="00101744">
              <w:rPr>
                <w:rFonts w:ascii="Arial" w:eastAsia="Times New Roman" w:hAnsi="Arial" w:cs="Arial"/>
                <w:color w:val="000000"/>
                <w:sz w:val="18"/>
                <w:szCs w:val="18"/>
                <w:lang w:val="en-US" w:eastAsia="pt-PT"/>
              </w:rPr>
              <w:fldChar w:fldCharType="end"/>
            </w:r>
          </w:p>
        </w:tc>
        <w:tc>
          <w:tcPr>
            <w:tcW w:w="709" w:type="dxa"/>
            <w:noWrap/>
            <w:hideMark/>
          </w:tcPr>
          <w:p w14:paraId="336B8DE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40306E5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c>
          <w:tcPr>
            <w:tcW w:w="517" w:type="dxa"/>
            <w:noWrap/>
            <w:hideMark/>
          </w:tcPr>
          <w:p w14:paraId="1D054CF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9</w:t>
            </w:r>
          </w:p>
        </w:tc>
        <w:tc>
          <w:tcPr>
            <w:tcW w:w="767" w:type="dxa"/>
            <w:noWrap/>
            <w:hideMark/>
          </w:tcPr>
          <w:p w14:paraId="6F660E9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26</w:t>
            </w:r>
          </w:p>
        </w:tc>
        <w:tc>
          <w:tcPr>
            <w:tcW w:w="695" w:type="dxa"/>
            <w:noWrap/>
            <w:hideMark/>
          </w:tcPr>
          <w:p w14:paraId="3949E064"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907" w:type="dxa"/>
            <w:noWrap/>
            <w:hideMark/>
          </w:tcPr>
          <w:p w14:paraId="62321ECA"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words and word generation</w:t>
            </w:r>
          </w:p>
        </w:tc>
        <w:tc>
          <w:tcPr>
            <w:tcW w:w="445" w:type="dxa"/>
            <w:noWrap/>
            <w:hideMark/>
          </w:tcPr>
          <w:p w14:paraId="37D409A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18</w:t>
            </w:r>
          </w:p>
        </w:tc>
        <w:tc>
          <w:tcPr>
            <w:tcW w:w="1681" w:type="dxa"/>
            <w:noWrap/>
            <w:hideMark/>
          </w:tcPr>
          <w:p w14:paraId="5C82C5BF"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1.5T Sonata Siemens</w:t>
            </w:r>
          </w:p>
        </w:tc>
        <w:tc>
          <w:tcPr>
            <w:tcW w:w="1547" w:type="dxa"/>
            <w:noWrap/>
            <w:hideMark/>
          </w:tcPr>
          <w:p w14:paraId="1FE9232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AFNI</w:t>
            </w:r>
          </w:p>
        </w:tc>
        <w:tc>
          <w:tcPr>
            <w:tcW w:w="1855" w:type="dxa"/>
            <w:noWrap/>
            <w:hideMark/>
          </w:tcPr>
          <w:p w14:paraId="4DF759A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minimum by </w:t>
            </w:r>
            <w:proofErr w:type="spellStart"/>
            <w:r w:rsidRPr="00101744">
              <w:rPr>
                <w:rFonts w:ascii="Arial" w:eastAsia="Times New Roman" w:hAnsi="Arial" w:cs="Arial"/>
                <w:color w:val="000000"/>
                <w:sz w:val="18"/>
                <w:szCs w:val="18"/>
                <w:lang w:val="en-US" w:eastAsia="pt-PT"/>
              </w:rPr>
              <w:t>bonferroni</w:t>
            </w:r>
            <w:proofErr w:type="spellEnd"/>
          </w:p>
        </w:tc>
        <w:tc>
          <w:tcPr>
            <w:tcW w:w="717" w:type="dxa"/>
            <w:noWrap/>
            <w:hideMark/>
          </w:tcPr>
          <w:p w14:paraId="2538240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2880</w:t>
            </w:r>
          </w:p>
        </w:tc>
        <w:tc>
          <w:tcPr>
            <w:tcW w:w="1146" w:type="dxa"/>
            <w:noWrap/>
            <w:hideMark/>
          </w:tcPr>
          <w:p w14:paraId="75CA124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r>
      <w:tr w:rsidR="003D1F45" w:rsidRPr="00101744" w14:paraId="59D74384" w14:textId="77777777" w:rsidTr="00B60BB2">
        <w:trPr>
          <w:trHeight w:val="300"/>
        </w:trPr>
        <w:tc>
          <w:tcPr>
            <w:tcW w:w="2269" w:type="dxa"/>
            <w:noWrap/>
            <w:vAlign w:val="center"/>
            <w:hideMark/>
          </w:tcPr>
          <w:p w14:paraId="660E0C8B" w14:textId="0B819669"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{"citationItems":[{"id":"ITEM-1","itemData":{"DOI":"10.1016/j.neuroimage.2006.06.067","ISBN":"1053-8119 (Print)\\r1053-8119 (Linking)","ISSN":"10538119","PMID":"17110132","abstract":"Reading and understanding speech are usually considered as different manifestations of a single cognitive ability, that of language. In this study, we were interested in characterizing the specific contributions of input modality and linguistic complexity on the neural networks involved when subjects understand language. We conducted an fMRI study during which 10 right-handed male subjects had to read and listen to words, sentences and texts in different runs. By comparing reading to listening tasks, we were able to show that the cerebral regions specifically recruited by a given modality were circumscribed to unimodal and associative unimodal cortices associated with the task, indicating that higher cognitive processes required by the task may be common to both modalities. Such cognitive processes involved a common phonological network as well as lexico-semantic activations as revealed by the conjunction between all reading and listening tasks. The restriction of modality-specific regions to their corresponding unimodal cortices was replicated when looking at brain areas showing a greater increase during the comprehension of more complex linguistic units than words (such as sentences and texts) for each modality. Finally, we discuss the possible roles of regions showing pure effect of linguistic complexity, such as the anterior part of the superior temporal gyrus and the ventro-posterior part of the middle temporal gyrus that were activated for sentences and texts but not for isolated words, as well as a text-specific region found in the left posterior STS. © 2006 Elsevier Inc. All rights reserved.","author":[{"dropping-particle":"","family":"Jobard","given":"G.","non-dropping-particle":"","parse-names":false,"suffix":""},{"dropping-particle":"","family":"Vigneau","given":"M.","non-dropping-particle":"","parse-names":false,"suffix":""},{"dropping-particle":"","family":"Mazoyer","given":"B.","non-dropping-particle":"","parse-names":false,"suffix":""},{"dropping-particle":"","family":"Tzourio-Mazoyer","given":"N.","non-dropping-particle":"","parse-names":false,"suffix":""}],"container-title":"NeuroImage","id":"ITEM-1","issue":"2","issued":{"date-parts":[["2007","1","15"]]},"page":"784-800","title":"Impact of modality and linguistic complexity during reading and listening tasks","type":"article-journal","volume":"34"},"uris":["http://www.mendeley.com/documents/?uuid=3a4fbb2e-d269-3b71-90b3-98531463306d"]}],"mendeley":{"formattedCitation":"(Jobard et al. 2007)","plainTextFormattedCitation":"(Jobard et al. 2007)","previouslyFormattedCitation":"&lt;sup&gt;20&lt;/sup&gt;"},"properties":{"noteIndex":0},"schema":"https://github.com/citation-style-language/schema/raw/master/csl-citation.json"}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(Jobard et al. 2007)</w:t>
            </w:r>
            <w:r w:rsidRPr="00101744">
              <w:rPr>
                <w:rFonts w:ascii="Arial" w:eastAsia="Times New Roman" w:hAnsi="Arial" w:cs="Arial"/>
                <w:color w:val="000000"/>
                <w:sz w:val="18"/>
                <w:szCs w:val="18"/>
                <w:lang w:val="en-US" w:eastAsia="pt-PT"/>
              </w:rPr>
              <w:fldChar w:fldCharType="end"/>
            </w:r>
          </w:p>
        </w:tc>
        <w:tc>
          <w:tcPr>
            <w:tcW w:w="709" w:type="dxa"/>
            <w:noWrap/>
            <w:hideMark/>
          </w:tcPr>
          <w:p w14:paraId="44041B5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c>
          <w:tcPr>
            <w:tcW w:w="650" w:type="dxa"/>
            <w:noWrap/>
            <w:hideMark/>
          </w:tcPr>
          <w:p w14:paraId="6C99D98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c>
          <w:tcPr>
            <w:tcW w:w="517" w:type="dxa"/>
            <w:noWrap/>
            <w:hideMark/>
          </w:tcPr>
          <w:p w14:paraId="653C0D9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0</w:t>
            </w:r>
          </w:p>
        </w:tc>
        <w:tc>
          <w:tcPr>
            <w:tcW w:w="767" w:type="dxa"/>
            <w:noWrap/>
            <w:hideMark/>
          </w:tcPr>
          <w:p w14:paraId="4BE1BD4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22</w:t>
            </w:r>
          </w:p>
        </w:tc>
        <w:tc>
          <w:tcPr>
            <w:tcW w:w="695" w:type="dxa"/>
            <w:noWrap/>
            <w:hideMark/>
          </w:tcPr>
          <w:p w14:paraId="2E2851A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18-26</w:t>
            </w:r>
          </w:p>
        </w:tc>
        <w:tc>
          <w:tcPr>
            <w:tcW w:w="1907" w:type="dxa"/>
            <w:noWrap/>
            <w:hideMark/>
          </w:tcPr>
          <w:p w14:paraId="5BD20262"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Reading </w:t>
            </w:r>
          </w:p>
        </w:tc>
        <w:tc>
          <w:tcPr>
            <w:tcW w:w="445" w:type="dxa"/>
            <w:noWrap/>
            <w:hideMark/>
          </w:tcPr>
          <w:p w14:paraId="22B24DB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61</w:t>
            </w:r>
          </w:p>
        </w:tc>
        <w:tc>
          <w:tcPr>
            <w:tcW w:w="1681" w:type="dxa"/>
            <w:noWrap/>
            <w:hideMark/>
          </w:tcPr>
          <w:p w14:paraId="2D5BE602"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1.5T Horizon GE</w:t>
            </w:r>
          </w:p>
        </w:tc>
        <w:tc>
          <w:tcPr>
            <w:tcW w:w="1547" w:type="dxa"/>
            <w:noWrap/>
            <w:hideMark/>
          </w:tcPr>
          <w:p w14:paraId="3993989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6E52C095"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77B3168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6000</w:t>
            </w:r>
          </w:p>
        </w:tc>
        <w:tc>
          <w:tcPr>
            <w:tcW w:w="1146" w:type="dxa"/>
            <w:noWrap/>
            <w:hideMark/>
          </w:tcPr>
          <w:p w14:paraId="2C732EC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3.75</w:t>
            </w:r>
          </w:p>
        </w:tc>
      </w:tr>
      <w:tr w:rsidR="003D1F45" w:rsidRPr="00101744" w14:paraId="7252377A" w14:textId="77777777" w:rsidTr="00B60BB2">
        <w:trPr>
          <w:trHeight w:val="300"/>
        </w:trPr>
        <w:tc>
          <w:tcPr>
            <w:tcW w:w="2269" w:type="dxa"/>
            <w:noWrap/>
            <w:vAlign w:val="center"/>
            <w:hideMark/>
          </w:tcPr>
          <w:p w14:paraId="3245FF03" w14:textId="4DB2C264"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{"citationItems":[{"id":"ITEM-1","itemData":{"DOI":"10.1016/j.bandl.2005.10.004","ISBN":"0093-934X (Print)\\r0093-934X (Linking)","ISSN":"0093934X","PMID":"16298426","abstract":"This study looks at whether conventional and anomalous metaphors are processed in different locations in the brain while being read when compared with a literal condition in Mandarin Chinese. We find that conventional metaphors differ from the literal condition with a slight amount of increased activation in the right inferior temporal gyrus. In addition, when the anomalous metaphor condition is compared with the literal condition, increased activation occurs bilaterally in the frontal and temporal gyri. Lastly, the comparison between the anomalous and conventional metaphor conditions shows bilateral activation in the middle frontal gyrus and the precentral gyrus, and right-hemisphere activation in the superior frontal gyrus. Left hemisphere activation is found in the inferior frontal gyrus and fusiform gyrus. The left hemisphere activation in the frontal and temporal gyri point to the recruitment of traditional language-based areas for anomalous metaphor sentences, while the right-hemisphere activation found suggests that remote associations are being formed. In short, our study supports the idea that metaphors are not a homogenous type of figurative language and that distinguishing between different types of metaphors will advance theories of language comprehension. © 2005 Elsevier Inc. All rights reserved.","author":[{"dropping-particle":"","family":"Ahrens","given":"Kathleen","non-dropping-particle":"","parse-names":false,"suffix":""},{"dropping-particle":"","family":"Liu","given":"Ho Ling","non-dropping-particle":"","parse-names":false,"suffix":""},{"dropping-particle":"","family":"Lee","given":"Chia Ying","non-dropping-particle":"","parse-names":false,"suffix":""},{"dropping-particle":"","family":"Gong","given":"Shu Ping","non-dropping-particle":"","parse-names":false,"suffix":""},{"dropping-particle":"","family":"Fang","given":"Shin Yi","non-dropping-particle":"","parse-names":false,"suffix":""},{"dropping-particle":"","family":"Hsu","given":"Yuan Yu","non-dropping-particle":"","parse-names":false,"suffix":""}],"container-title":"Brain and Language","id":"ITEM-1","issue":"2","issued":{"date-parts":[["2007","2"]]},"page":"163-171","title":"Functional MRI of conventional and anomalous metaphors in Mandarin Chinese","type":"article-journal","volume":"100"},"uris":["http://www.mendeley.com/documents/?uuid=1f4c7d66-1c02-3ff2-ade9-8c7e8151fd6f"]}],"mendeley":{"formattedCitation":"(Ahrens et al. 2007)","plainTextFormattedCitation":"(Ahrens et al. 2007)","previouslyFormattedCitation":"&lt;sup&gt;21&lt;/sup&gt;"},"properties":{"noteIndex":0},"schema":"https://github.com/citation-style-language/schema/raw/master/csl-citation.json"}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(Ahrens et al. 2007)</w:t>
            </w:r>
            <w:r w:rsidRPr="00101744">
              <w:rPr>
                <w:rFonts w:ascii="Arial" w:eastAsia="Times New Roman" w:hAnsi="Arial" w:cs="Arial"/>
                <w:color w:val="000000"/>
                <w:sz w:val="18"/>
                <w:szCs w:val="18"/>
                <w:lang w:val="en-US" w:eastAsia="pt-PT"/>
              </w:rPr>
              <w:fldChar w:fldCharType="end"/>
            </w:r>
          </w:p>
        </w:tc>
        <w:tc>
          <w:tcPr>
            <w:tcW w:w="709" w:type="dxa"/>
            <w:noWrap/>
            <w:hideMark/>
          </w:tcPr>
          <w:p w14:paraId="4254EAA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650" w:type="dxa"/>
            <w:noWrap/>
            <w:hideMark/>
          </w:tcPr>
          <w:p w14:paraId="4EBC182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517" w:type="dxa"/>
            <w:noWrap/>
            <w:hideMark/>
          </w:tcPr>
          <w:p w14:paraId="20F8B06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0</w:t>
            </w:r>
          </w:p>
        </w:tc>
        <w:tc>
          <w:tcPr>
            <w:tcW w:w="767" w:type="dxa"/>
            <w:noWrap/>
            <w:hideMark/>
          </w:tcPr>
          <w:p w14:paraId="7F93ED0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21</w:t>
            </w:r>
          </w:p>
        </w:tc>
        <w:tc>
          <w:tcPr>
            <w:tcW w:w="695" w:type="dxa"/>
            <w:noWrap/>
            <w:hideMark/>
          </w:tcPr>
          <w:p w14:paraId="68FA0E2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20-22</w:t>
            </w:r>
          </w:p>
        </w:tc>
        <w:tc>
          <w:tcPr>
            <w:tcW w:w="1907" w:type="dxa"/>
            <w:noWrap/>
            <w:hideMark/>
          </w:tcPr>
          <w:p w14:paraId="5BFE90F7"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(covert) sentences</w:t>
            </w:r>
          </w:p>
        </w:tc>
        <w:tc>
          <w:tcPr>
            <w:tcW w:w="445" w:type="dxa"/>
            <w:noWrap/>
            <w:hideMark/>
          </w:tcPr>
          <w:p w14:paraId="500C2B8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48</w:t>
            </w:r>
          </w:p>
        </w:tc>
        <w:tc>
          <w:tcPr>
            <w:tcW w:w="1681" w:type="dxa"/>
            <w:noWrap/>
            <w:hideMark/>
          </w:tcPr>
          <w:p w14:paraId="7DEF6F33"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1.5T Vision Siemens</w:t>
            </w:r>
          </w:p>
        </w:tc>
        <w:tc>
          <w:tcPr>
            <w:tcW w:w="1547" w:type="dxa"/>
            <w:noWrap/>
            <w:hideMark/>
          </w:tcPr>
          <w:p w14:paraId="6589F375"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MEDx</w:t>
            </w:r>
            <w:proofErr w:type="spellEnd"/>
            <w:r w:rsidRPr="00101744">
              <w:rPr>
                <w:rFonts w:ascii="Arial" w:eastAsia="Times New Roman" w:hAnsi="Arial" w:cs="Arial"/>
                <w:color w:val="000000"/>
                <w:sz w:val="18"/>
                <w:szCs w:val="18"/>
                <w:lang w:val="en-US" w:eastAsia="pt-PT"/>
              </w:rPr>
              <w:t>/Matlab6.5</w:t>
            </w:r>
          </w:p>
        </w:tc>
        <w:tc>
          <w:tcPr>
            <w:tcW w:w="1855" w:type="dxa"/>
            <w:noWrap/>
            <w:hideMark/>
          </w:tcPr>
          <w:p w14:paraId="784DBA20"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voxelwise</w:t>
            </w:r>
            <w:proofErr w:type="spellEnd"/>
            <w:r w:rsidRPr="00101744">
              <w:rPr>
                <w:rFonts w:ascii="Arial" w:eastAsia="Times New Roman" w:hAnsi="Arial" w:cs="Arial"/>
                <w:color w:val="000000"/>
                <w:sz w:val="18"/>
                <w:szCs w:val="18"/>
                <w:lang w:val="en-US" w:eastAsia="pt-PT"/>
              </w:rPr>
              <w:t xml:space="preserve"> threshold p&lt;0.001</w:t>
            </w:r>
          </w:p>
        </w:tc>
        <w:tc>
          <w:tcPr>
            <w:tcW w:w="717" w:type="dxa"/>
            <w:noWrap/>
            <w:hideMark/>
          </w:tcPr>
          <w:p w14:paraId="58EA49A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3000</w:t>
            </w:r>
          </w:p>
        </w:tc>
        <w:tc>
          <w:tcPr>
            <w:tcW w:w="1146" w:type="dxa"/>
            <w:noWrap/>
            <w:hideMark/>
          </w:tcPr>
          <w:p w14:paraId="2F1922A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r>
      <w:tr w:rsidR="003D1F45" w:rsidRPr="00101744" w14:paraId="26B51656" w14:textId="77777777" w:rsidTr="00B60BB2">
        <w:trPr>
          <w:trHeight w:val="300"/>
        </w:trPr>
        <w:tc>
          <w:tcPr>
            <w:tcW w:w="2269" w:type="dxa"/>
            <w:noWrap/>
            <w:vAlign w:val="center"/>
            <w:hideMark/>
          </w:tcPr>
          <w:p w14:paraId="57273DFA" w14:textId="033D1827"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{"citationItems":[{"id":"ITEM-1","itemData":{"DOI":"10.1176/ajp.2006.163.10.1784","ISBN":"0002-953X (Print)","ISSN":"0002953X","PMID":"17012690","abstract":"OBJECTIVE:Most of the functional neuroimaging studies of depression have focused primarily on the resting state or responses to negatively valenced stimuli. However, depression consists not only of an accentuation of negative affective processing but of an inability to experience pleasure or positive motivation. The authors tested the hypothesis that depressed subjects would show less activation than healthy comparison subjects, in response to positive stimuli, in ventral striatal regions associated with processing of reward and positive stimuli.METHOD:Positive, negative, and neutral words were presented to 10 unmedicated depressed patients and 12 healthy comparison subjects in the context of a 3T functional magnetic resonance imaging (MRI) paradigm. Image processing and analysis were performed using statistical parametric mapping with a mixed-effects model. Significant differences in neural responses were assessed, examining group, condition, and interaction effects of interest within the context of a general linear model.RESULTS:Relative to comparison subjects, depressed patients demonstrated significantly less bilateral ventral striatal activation to positive stimuli, correlating with decreased interest/pleasure in and performance of activities. They also displayed decreased activation to positive stimuli in a dorsomedial frontal region associated with processing of self-related stimuli. Responses of depressed subjects to negative stimuli were consistent with the growing literature on frontolimbic dysfunction in depression.CONCLUSIONS:This finding 1) supports a pathophysiological model of depression that includes reward/motivational pathway dysfunction, 2) suggests a contributing neural substrate of the inability to experience pleasure or engage in rewarding activities, 3) provides greater specification of abnormalities of basal ganglia function in depression, and 4) may help guide treatment approaches.","author":[{"dropping-particle":"","family":"Epstein","given":"Jane","non-dropping-particle":"","parse-names":false,"suffix":""},{"dropping-particle":"","family":"Pan","given":"Hong","non-dropping-particle":"","parse-names":false,"suffix":""},{"dropping-particle":"","family":"Kocsis","given":"James H.","non-dropping-particle":"","parse-names":false,"suffix":""},{"dropping-particle":"","family":"Yang","given":"Yihong","non-dropping-particle":"","parse-names":false,</w:instrText>
            </w:r>
            <w:r w:rsidR="00C14016" w:rsidRPr="00C14016">
              <w:rPr>
                <w:rFonts w:ascii="Arial" w:hAnsi="Arial" w:cs="Arial"/>
                <w:color w:val="000000"/>
                <w:sz w:val="18"/>
                <w:szCs w:val="18"/>
                <w:lang w:val="en-GB" w:eastAsia="pt-PT"/>
              </w:rPr>
              <w:instrText>"suffix":""},{"dropping-particle":"","family":"Butler","given":"Tracy","non-dropping-particle":"","parse-names":false,"suffix":""},{"dropping-particle":"","family":"Chusid","given":"Jesse","non-dropping-particle":"","parse-names":false,"suffix":""},{"dropping-particle":"","family":"Hochberg","given":"Hilary","non-dropping-particle":"","parse-names":false,"suffix":""},{"dropping-particle":"","family":"Murrough","given":"James","non-dropping-particle":"","parse-names":false,"suffix":""},{"dropping-particle":"","family":"Strohmayer","given":"Erika","non-dropping-particle":"","parse-names":false,"suffix":""},{"dropping-particle":"","family":"Stern","given":"Emily","non-dropping-particle":"","parse-names":false,"suffix":""},{"dropping-particle":"","family":"Silbersweig","given":"David A.","non-dropping-particle":"","parse-names":false,"suffix":""}],"container-title":"American Journal of Psychiatry","id":"ITEM-1","issue":"10","issued":{"date-parts":[["2006","10"]]},"page":"1784-1790","title":"Lack of ventral striatal response to positive stimuli in depressed versus normal subjects","type":"article-journal","volume":"163"},"uris":["http://www.mendeley.com/documents/?uuid=499ab426-a980-337c-b33f-bcd2fc77ad17"]}],"mendeley":{"formattedCitation":"(Epstein et al. 2006)","plainTextFormattedCitation":"(Epstein et al. 2006)","previouslyFormattedCitation":"&lt;sup&gt;22&lt;/sup&gt;"},"properties":{"noteIndex":0},"schema":"https://github.com/citation-style-language/schema/raw/master/csl-citation.json"}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(Epstein et al. 2006)</w:t>
            </w:r>
            <w:r w:rsidRPr="00101744">
              <w:rPr>
                <w:rFonts w:ascii="Arial" w:eastAsia="Times New Roman" w:hAnsi="Arial" w:cs="Arial"/>
                <w:color w:val="000000"/>
                <w:sz w:val="18"/>
                <w:szCs w:val="18"/>
                <w:lang w:val="en-US" w:eastAsia="pt-PT"/>
              </w:rPr>
              <w:fldChar w:fldCharType="end"/>
            </w:r>
          </w:p>
        </w:tc>
        <w:tc>
          <w:tcPr>
            <w:tcW w:w="709" w:type="dxa"/>
            <w:noWrap/>
            <w:hideMark/>
          </w:tcPr>
          <w:p w14:paraId="1781870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5F24C30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w:t>
            </w:r>
          </w:p>
        </w:tc>
        <w:tc>
          <w:tcPr>
            <w:tcW w:w="517" w:type="dxa"/>
            <w:noWrap/>
            <w:hideMark/>
          </w:tcPr>
          <w:p w14:paraId="205B781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7</w:t>
            </w:r>
          </w:p>
        </w:tc>
        <w:tc>
          <w:tcPr>
            <w:tcW w:w="767" w:type="dxa"/>
            <w:noWrap/>
            <w:hideMark/>
          </w:tcPr>
          <w:p w14:paraId="701B67F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32</w:t>
            </w:r>
          </w:p>
        </w:tc>
        <w:tc>
          <w:tcPr>
            <w:tcW w:w="695" w:type="dxa"/>
            <w:noWrap/>
            <w:hideMark/>
          </w:tcPr>
          <w:p w14:paraId="6671605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23-53</w:t>
            </w:r>
          </w:p>
        </w:tc>
        <w:tc>
          <w:tcPr>
            <w:tcW w:w="1907" w:type="dxa"/>
            <w:noWrap/>
            <w:hideMark/>
          </w:tcPr>
          <w:p w14:paraId="268A37E3"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(covert)</w:t>
            </w:r>
          </w:p>
        </w:tc>
        <w:tc>
          <w:tcPr>
            <w:tcW w:w="445" w:type="dxa"/>
            <w:noWrap/>
            <w:hideMark/>
          </w:tcPr>
          <w:p w14:paraId="1F8EB51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w:t>
            </w:r>
          </w:p>
        </w:tc>
        <w:tc>
          <w:tcPr>
            <w:tcW w:w="1681" w:type="dxa"/>
            <w:noWrap/>
            <w:hideMark/>
          </w:tcPr>
          <w:p w14:paraId="40C6F579"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3T </w:t>
            </w:r>
            <w:proofErr w:type="spellStart"/>
            <w:r w:rsidRPr="00101744">
              <w:rPr>
                <w:rFonts w:ascii="Arial" w:eastAsia="Times New Roman" w:hAnsi="Arial" w:cs="Arial"/>
                <w:color w:val="000000"/>
                <w:sz w:val="18"/>
                <w:szCs w:val="18"/>
                <w:lang w:val="en-US" w:eastAsia="pt-PT"/>
              </w:rPr>
              <w:t>Signa</w:t>
            </w:r>
            <w:proofErr w:type="spellEnd"/>
            <w:r w:rsidRPr="00101744">
              <w:rPr>
                <w:rFonts w:ascii="Arial" w:eastAsia="Times New Roman" w:hAnsi="Arial" w:cs="Arial"/>
                <w:color w:val="000000"/>
                <w:sz w:val="18"/>
                <w:szCs w:val="18"/>
                <w:lang w:val="en-US" w:eastAsia="pt-PT"/>
              </w:rPr>
              <w:t xml:space="preserve"> GE</w:t>
            </w:r>
          </w:p>
        </w:tc>
        <w:tc>
          <w:tcPr>
            <w:tcW w:w="1547" w:type="dxa"/>
            <w:noWrap/>
            <w:hideMark/>
          </w:tcPr>
          <w:p w14:paraId="2BC3F7E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180B1831"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voxelwise</w:t>
            </w:r>
            <w:proofErr w:type="spellEnd"/>
            <w:r w:rsidRPr="00101744">
              <w:rPr>
                <w:rFonts w:ascii="Arial" w:eastAsia="Times New Roman" w:hAnsi="Arial" w:cs="Arial"/>
                <w:color w:val="000000"/>
                <w:sz w:val="18"/>
                <w:szCs w:val="18"/>
                <w:lang w:val="en-US" w:eastAsia="pt-PT"/>
              </w:rPr>
              <w:t xml:space="preserve"> threshold p&lt;0.001</w:t>
            </w:r>
          </w:p>
        </w:tc>
        <w:tc>
          <w:tcPr>
            <w:tcW w:w="717" w:type="dxa"/>
            <w:noWrap/>
            <w:hideMark/>
          </w:tcPr>
          <w:p w14:paraId="7CABC22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1200</w:t>
            </w:r>
          </w:p>
        </w:tc>
        <w:tc>
          <w:tcPr>
            <w:tcW w:w="1146" w:type="dxa"/>
            <w:noWrap/>
            <w:hideMark/>
          </w:tcPr>
          <w:p w14:paraId="64442E6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w:t>
            </w:r>
          </w:p>
        </w:tc>
      </w:tr>
      <w:tr w:rsidR="003D1F45" w:rsidRPr="00101744" w14:paraId="394E080C" w14:textId="77777777" w:rsidTr="00B60BB2">
        <w:trPr>
          <w:trHeight w:val="300"/>
        </w:trPr>
        <w:tc>
          <w:tcPr>
            <w:tcW w:w="2269" w:type="dxa"/>
            <w:noWrap/>
            <w:vAlign w:val="center"/>
            <w:hideMark/>
          </w:tcPr>
          <w:p w14:paraId="0C26B0D2" w14:textId="36151EAB" w:rsidR="003D1F45" w:rsidRPr="00101744" w:rsidRDefault="003D1F45" w:rsidP="00C14016">
            <w:pPr>
              <w:rPr>
                <w:rFonts w:ascii="Arial" w:eastAsia="Times New Roman" w:hAnsi="Arial" w:cs="Arial"/>
                <w:b/>
                <w:bCs/>
                <w:sz w:val="18"/>
                <w:szCs w:val="18"/>
                <w:lang w:val="en-US" w:eastAsia="pt-PT"/>
              </w:rPr>
            </w:pPr>
            <w:r w:rsidRPr="00101744">
              <w:rPr>
                <w:rFonts w:ascii="Arial" w:eastAsia="Times New Roman" w:hAnsi="Arial" w:cs="Arial"/>
                <w:sz w:val="18"/>
                <w:szCs w:val="18"/>
                <w:lang w:val="en-US" w:eastAsia="pt-PT"/>
              </w:rPr>
              <w:fldChar w:fldCharType="begin" w:fldLock="1"/>
            </w:r>
            <w:r w:rsidR="00C14016" w:rsidRPr="00C14016">
              <w:rPr>
                <w:rFonts w:ascii="Arial" w:hAnsi="Arial" w:cs="Arial"/>
                <w:sz w:val="18"/>
                <w:szCs w:val="18"/>
                <w:lang w:val="en-GB" w:eastAsia="pt-PT"/>
              </w:rPr>
              <w:instrText>ADDIN CSL_CITATION {"citationItems":[{"id":"ITEM-1","itemData":{"DOI":"10.1016/j.neuroimage.2005.08.055","ISBN":"1053-8119 (Print)\\r1053-8119 (Linking)","ISSN":"10538119","PMID":"16242351","abstract":"The purpose of the present functional magnetic resonance imaging (fMRI) investigation was to examine how language proficiency and orthographic transparency (letter-sound mapping consistency) modulate neural activity during bilingual single word reading. Spanish-English bilingual participants, more fluent in their second language (L2; English) than their native language (L1; Spanish), were asked to read words in the two languages. Behavioral results showed that participants were significantly slower in reading words in their less proficient language (Spanish) than in their more proficient language (English). fMRI results also revealed that reading words in the less proficient language yielded greater activity in the articulatory motor system, consisting of supplementary motor area/cingulate, insula, and putamen. Together, the behavioral and fMRI results suggest that the less practiced, hence less proficient, language requires greater articulatory motor effort, which results in slower reading rates. Moreover, we found that orthographic transparency also played a neuromodulatory role. More transparent Spanish words yielded greater activity in superior temporal gyrus (ST</w:instrText>
            </w:r>
            <w:r w:rsidR="00C14016">
              <w:rPr>
                <w:rFonts w:ascii="Arial" w:hAnsi="Arial" w:cs="Arial"/>
                <w:sz w:val="18"/>
                <w:szCs w:val="18"/>
                <w:lang w:eastAsia="pt-PT"/>
              </w:rPr>
              <w:instrText>G; BA 22), a region implicated in phonological processing, and orthographically opaque English words yielded greater activity in visual processing and word recoding regions, such as the occipito-parietal border and inferior parietal lobe (IPL; BA 40). Overall, our fMRI results suggest that the articulatory motor system is more plastic, hence, more amenable to change because of greater exposure to the L2. By contrast, we propose that our orthography effect is less plastic, hence, less influenced by frequency of exposure to a language system. © 2005 Elsevier Inc. All rights reserved.","author":[{"dropping-particle":"","family":"Meschyan","given":"Gayane","non-dropping-particle":"","parse-names":false,"suffix":""},{"dropping-particle":"","family":"Hernandez","given":"Arturo E.","non-dropping-particle":"","parse-names":false,"suffix":""}],"container-title":"NeuroImage","id":"ITEM-1","issue":"4","issued":{"date-parts":[["2006","2","15"]]},"page":"1135-1140","title":"Impact of language proficiency and orthographic transparency on bilingual word reading: An fMRI investigation","type":"article-journal","volume":"29"},"uris":["http://www.mendeley.com/documents/?uuid=3e049911-823d-3573-85df-c264d68d5aa3"]}],"mendeley":{"formattedCitation":"(Meschyan and Hernandez 2006)","plainTextFormattedCitation":"(Meschyan and Hernandez 2006)","previouslyFormattedCitation":"&lt;sup&gt;23&lt;/sup&gt;"},"properties":{"noteIndex":0},"schema":"https://github.com/citation-style-language/schema/raw/master/csl-citation.json"}</w:instrText>
            </w:r>
            <w:r w:rsidRPr="00101744">
              <w:rPr>
                <w:rFonts w:ascii="Arial" w:eastAsia="Times New Roman" w:hAnsi="Arial" w:cs="Arial"/>
                <w:sz w:val="18"/>
                <w:szCs w:val="18"/>
                <w:lang w:val="en-US" w:eastAsia="pt-PT"/>
              </w:rPr>
              <w:fldChar w:fldCharType="separate"/>
            </w:r>
            <w:r w:rsidR="00C14016" w:rsidRPr="00C14016">
              <w:rPr>
                <w:rFonts w:ascii="Arial" w:hAnsi="Arial" w:cs="Arial"/>
                <w:noProof/>
                <w:sz w:val="18"/>
                <w:szCs w:val="18"/>
                <w:lang w:eastAsia="pt-PT"/>
              </w:rPr>
              <w:t>(Meschyan and Hernandez 2006)</w:t>
            </w:r>
            <w:r w:rsidRPr="00101744">
              <w:rPr>
                <w:rFonts w:ascii="Arial" w:eastAsia="Times New Roman" w:hAnsi="Arial" w:cs="Arial"/>
                <w:sz w:val="18"/>
                <w:szCs w:val="18"/>
                <w:lang w:val="en-US" w:eastAsia="pt-PT"/>
              </w:rPr>
              <w:fldChar w:fldCharType="end"/>
            </w:r>
          </w:p>
        </w:tc>
        <w:tc>
          <w:tcPr>
            <w:tcW w:w="709" w:type="dxa"/>
            <w:noWrap/>
            <w:hideMark/>
          </w:tcPr>
          <w:p w14:paraId="435A180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7258465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w:t>
            </w:r>
          </w:p>
        </w:tc>
        <w:tc>
          <w:tcPr>
            <w:tcW w:w="517" w:type="dxa"/>
            <w:noWrap/>
            <w:hideMark/>
          </w:tcPr>
          <w:p w14:paraId="3F8F5F3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7</w:t>
            </w:r>
          </w:p>
        </w:tc>
        <w:tc>
          <w:tcPr>
            <w:tcW w:w="767" w:type="dxa"/>
            <w:noWrap/>
            <w:hideMark/>
          </w:tcPr>
          <w:p w14:paraId="7A453C5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22</w:t>
            </w:r>
          </w:p>
        </w:tc>
        <w:tc>
          <w:tcPr>
            <w:tcW w:w="695" w:type="dxa"/>
            <w:noWrap/>
            <w:hideMark/>
          </w:tcPr>
          <w:p w14:paraId="4D29A52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20-25</w:t>
            </w:r>
          </w:p>
        </w:tc>
        <w:tc>
          <w:tcPr>
            <w:tcW w:w="1907" w:type="dxa"/>
            <w:noWrap/>
            <w:hideMark/>
          </w:tcPr>
          <w:p w14:paraId="51B0F22D"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w:t>
            </w:r>
          </w:p>
        </w:tc>
        <w:tc>
          <w:tcPr>
            <w:tcW w:w="445" w:type="dxa"/>
            <w:noWrap/>
            <w:hideMark/>
          </w:tcPr>
          <w:p w14:paraId="0C47869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18</w:t>
            </w:r>
          </w:p>
        </w:tc>
        <w:tc>
          <w:tcPr>
            <w:tcW w:w="1681" w:type="dxa"/>
            <w:noWrap/>
            <w:hideMark/>
          </w:tcPr>
          <w:p w14:paraId="2F03D57B"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3T GE</w:t>
            </w:r>
          </w:p>
        </w:tc>
        <w:tc>
          <w:tcPr>
            <w:tcW w:w="1547" w:type="dxa"/>
            <w:noWrap/>
            <w:hideMark/>
          </w:tcPr>
          <w:p w14:paraId="41219C1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416EC280"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voxelwise</w:t>
            </w:r>
            <w:proofErr w:type="spellEnd"/>
            <w:r w:rsidRPr="00101744">
              <w:rPr>
                <w:rFonts w:ascii="Arial" w:eastAsia="Times New Roman" w:hAnsi="Arial" w:cs="Arial"/>
                <w:color w:val="000000"/>
                <w:sz w:val="18"/>
                <w:szCs w:val="18"/>
                <w:lang w:val="en-US" w:eastAsia="pt-PT"/>
              </w:rPr>
              <w:t xml:space="preserve"> threshold p&lt;0.001</w:t>
            </w:r>
          </w:p>
        </w:tc>
        <w:tc>
          <w:tcPr>
            <w:tcW w:w="717" w:type="dxa"/>
            <w:noWrap/>
            <w:hideMark/>
          </w:tcPr>
          <w:p w14:paraId="51288AA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3000</w:t>
            </w:r>
          </w:p>
        </w:tc>
        <w:tc>
          <w:tcPr>
            <w:tcW w:w="1146" w:type="dxa"/>
            <w:noWrap/>
            <w:hideMark/>
          </w:tcPr>
          <w:p w14:paraId="1B5C26E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r>
      <w:tr w:rsidR="003D1F45" w:rsidRPr="00101744" w14:paraId="0470CAA6" w14:textId="77777777" w:rsidTr="00B60BB2">
        <w:trPr>
          <w:trHeight w:val="300"/>
        </w:trPr>
        <w:tc>
          <w:tcPr>
            <w:tcW w:w="2269" w:type="dxa"/>
            <w:noWrap/>
            <w:vAlign w:val="center"/>
            <w:hideMark/>
          </w:tcPr>
          <w:p w14:paraId="019785D0" w14:textId="1DA8F74B"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{"citationItems":[{"id":"ITEM-1","itemData":{"DOI":"10.1016/j.neuropsychologia.2005.11.009","ISSN":"00283932","PMID":"16427099","abstract":"We used fMRI to examine the functional correlates of syntactical processing in the first (L1) and second (L2) languages of non-proficient, late bilinguals. Subjects either covertly read words or produced sentences from them. Syntactical production during sentence production activated regions including left inferior frontal (LIFG) gyrus and the supplementary motor area in both languages. Analyses performed on the LIFG activation identified on a subject-by-subject basis revealed greater activation in L2 compared to L1 during sentence production and during word reading, consistent with previous work suggesting that greater cognitive effort may be subserved by less well-tuned neural representations that require greater neuronal activity. Remarkably, there was a greater separation in the LIFG activations in L1 versus L2 in less compared to more proficient bilinguals during syntax production, suggesting a functional reorganisation of regions involved in syntactical production as a function of syntactical proficiency.","author":[{"dropping-particle":"","family":"Golestani","given":"Narly","non-dropping-particle":"","parse-names":false,"suffix":""},{"dropping-particle":"","family":"Alario","given":"F.-Xavier","non-dropping-particle":"","parse-names":false,"suffix":""},{"dropping-particle":"","family":"Meriaux","given":"Sébastien","non-dropping-particle":"","parse-names":false,"suffix":""},{"dropping-particle":"","family":"Bihan","given":"Denis","non-dropping-particle":"Le","parse-names":false,"suffix":""},{"dropping-particle":"","family":"Dehaene","given":"Stanislas","non-dropping-particle":"","parse-names":false,"suffix":""},{"dropping-particle":"","family":"Pallier","given":"Christophe","non-dropping-particle":"","parse-names":false,"suffix":""}],"container-title":"Neuropsychologia","id":"ITEM-1","issue":"7","issued":{"date-parts":[["2006","1"]]},"page":"1029-1040","title":"Syntax production in bilinguals","type":"article-journal","volume":"44"},"uris":["http://www.mendeley.com/documents/?uuid=9e9fe925-9684-3c7b-801d-d3c5bd1d2493"]}],"mendeley":{"formattedCitation":"(Golestani et al. 2006)","plainTextFormattedCitation":"(Golestani et al. 2006)","previouslyFormattedCitation":"&lt;sup&gt;24&lt;/sup&gt;"},"properties":{"noteIndex":0},"schema":"https://github.com/citation-style-language/schema/raw/master/csl-citation.json"}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(Golestani et al. 2006)</w:t>
            </w:r>
            <w:r w:rsidRPr="00101744">
              <w:rPr>
                <w:rFonts w:ascii="Arial" w:eastAsia="Times New Roman" w:hAnsi="Arial" w:cs="Arial"/>
                <w:color w:val="000000"/>
                <w:sz w:val="18"/>
                <w:szCs w:val="18"/>
                <w:lang w:val="en-US" w:eastAsia="pt-PT"/>
              </w:rPr>
              <w:fldChar w:fldCharType="end"/>
            </w:r>
          </w:p>
        </w:tc>
        <w:tc>
          <w:tcPr>
            <w:tcW w:w="709" w:type="dxa"/>
            <w:noWrap/>
            <w:hideMark/>
          </w:tcPr>
          <w:p w14:paraId="2CF51AA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520D862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7</w:t>
            </w:r>
          </w:p>
        </w:tc>
        <w:tc>
          <w:tcPr>
            <w:tcW w:w="517" w:type="dxa"/>
            <w:noWrap/>
            <w:hideMark/>
          </w:tcPr>
          <w:p w14:paraId="6BE0CF6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w:t>
            </w:r>
          </w:p>
        </w:tc>
        <w:tc>
          <w:tcPr>
            <w:tcW w:w="767" w:type="dxa"/>
            <w:noWrap/>
            <w:hideMark/>
          </w:tcPr>
          <w:p w14:paraId="2A80EE1F"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95" w:type="dxa"/>
            <w:noWrap/>
            <w:hideMark/>
          </w:tcPr>
          <w:p w14:paraId="2F3BD72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20-28</w:t>
            </w:r>
          </w:p>
        </w:tc>
        <w:tc>
          <w:tcPr>
            <w:tcW w:w="1907" w:type="dxa"/>
            <w:noWrap/>
            <w:hideMark/>
          </w:tcPr>
          <w:p w14:paraId="25B8EBD9"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(covert)</w:t>
            </w:r>
          </w:p>
        </w:tc>
        <w:tc>
          <w:tcPr>
            <w:tcW w:w="445" w:type="dxa"/>
            <w:noWrap/>
            <w:hideMark/>
          </w:tcPr>
          <w:p w14:paraId="423CBC0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33</w:t>
            </w:r>
          </w:p>
        </w:tc>
        <w:tc>
          <w:tcPr>
            <w:tcW w:w="1681" w:type="dxa"/>
            <w:noWrap/>
            <w:hideMark/>
          </w:tcPr>
          <w:p w14:paraId="2F060401"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3T Bruker</w:t>
            </w:r>
          </w:p>
        </w:tc>
        <w:tc>
          <w:tcPr>
            <w:tcW w:w="1547" w:type="dxa"/>
            <w:noWrap/>
            <w:hideMark/>
          </w:tcPr>
          <w:p w14:paraId="14D45B5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31C06B80"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voxelwise</w:t>
            </w:r>
            <w:proofErr w:type="spellEnd"/>
            <w:r w:rsidRPr="00101744">
              <w:rPr>
                <w:rFonts w:ascii="Arial" w:eastAsia="Times New Roman" w:hAnsi="Arial" w:cs="Arial"/>
                <w:color w:val="000000"/>
                <w:sz w:val="18"/>
                <w:szCs w:val="18"/>
                <w:lang w:val="en-US" w:eastAsia="pt-PT"/>
              </w:rPr>
              <w:t xml:space="preserve"> threshold p&lt;0.001</w:t>
            </w:r>
          </w:p>
        </w:tc>
        <w:tc>
          <w:tcPr>
            <w:tcW w:w="717" w:type="dxa"/>
            <w:noWrap/>
            <w:hideMark/>
          </w:tcPr>
          <w:p w14:paraId="3DE8DA0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6" w:type="dxa"/>
            <w:noWrap/>
            <w:hideMark/>
          </w:tcPr>
          <w:p w14:paraId="29001D4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3.75</w:t>
            </w:r>
          </w:p>
        </w:tc>
      </w:tr>
      <w:tr w:rsidR="003D1F45" w:rsidRPr="00101744" w14:paraId="3D761935" w14:textId="77777777" w:rsidTr="00B60BB2">
        <w:trPr>
          <w:trHeight w:val="300"/>
        </w:trPr>
        <w:tc>
          <w:tcPr>
            <w:tcW w:w="2269" w:type="dxa"/>
            <w:noWrap/>
            <w:vAlign w:val="center"/>
            <w:hideMark/>
          </w:tcPr>
          <w:p w14:paraId="761AF434" w14:textId="09F0142D"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{"citationItems":[{"id":"ITEM-1","itemData":{"DOI":"10.1162/jocn.2007.19.3.433","ISBN":"0898-929X (Print)\\r0898-929X (Linking)","ISSN":"0898929X","PMID":"17335392","abstract":"This functional magnetic resonance imaging study compared the neuronal implementation of word and pseudoword processing during two commonly used word recognition tasks: lexical decision and reading aloud. In the lexical decision task, participants made a finger-press response to indicate whether a visually presented letter string is a word or a pseudoword (e.g., \"paple\"). In the reading-aloud task, participants read aloud visually presented words and pseudowords. The same sets of words and pseudowords were used for both tasks. This enabled us to look for the effects of task (lexical decision vs. reading aloud), lexicality (words vs. nonwords), and the interaction of lexicality with task. We found very similar patterns of activation for lexical decision and reading aloud in areas associated with word recognition and lexical retrieval (e.g., left fusiform gyrus, posterior temporal cortex, pars opercularis, and bilateral insulae), but task differences were observed bilaterally in sensorimotor areas. Lexical decision increased activation in areas associated with decision making and finger tapping (bilateral postcentral gyri, supplementary motor area, and right cerebellum), whereas reading aloud increased activation in areas associated with articulation and hearing the sound of the spoken response (bilateral precentral gyri, superior temporal gyri, and posterior cerebellum). The effect of lexicality (pseudoword vs. words) was also remarkably consistent across tasks. Nevertheless, increased activation for pseudowords relative to words was greater in the left precentral cortex for reading than lexical decision, and greater in the right inferior frontal cortex for lexical decision than reading. We attribute these effects to differences in the demands on speech production and decision-making processes, respectively.","author":[{"dropping-particle":"","family":"Carreiras","given":"Manuel","non-dropping-particle":"","parse-names":false,"suffix":""},{"dropping-particle":"","family":"Mechelli","given":"Andrea","non-dropping-particle":"","parse-names":false,"suffix":""},{"dropping-particle":"","family":"Estévez","given":"Adelina","non-dropping-particle":"","parse-names":false,"suffix":""},{"dropping-particle":"","family":"Price","given":"Cathy J.","non-dropping-particle":"","parse-names":false,"suffix":""}],"container-title":"Journal of Cognitive Neuroscience","id":"ITEM-1","issue":"3","issued":{"date-parts":[["2007","3"]]},"page":"433-444","title":"Brain activation for lexical decision and reading aloud: Two sides of the same coin?","type":"article-journal","volume":"19"},"uris":["http://www.mendeley.com/documents/?uuid=d192b1f6-e521-3249-b8e6-4719206477b5"]}],"mendeley":{"formattedCitation":"(Carreiras et al. 2007)","plainTextFormattedCitation":"(Carreiras et al. 2007)","previouslyFormattedCitation":"&lt;sup&gt;25&lt;/sup&gt;"},"properties":{"noteIndex":0},"schema":"https://github.com/citation-style-language/schema/raw/master/csl-citation.json"}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(Carreiras et al. 2007)</w:t>
            </w:r>
            <w:r w:rsidRPr="00101744">
              <w:rPr>
                <w:rFonts w:ascii="Arial" w:eastAsia="Times New Roman" w:hAnsi="Arial" w:cs="Arial"/>
                <w:color w:val="000000"/>
                <w:sz w:val="18"/>
                <w:szCs w:val="18"/>
                <w:lang w:val="en-US" w:eastAsia="pt-PT"/>
              </w:rPr>
              <w:fldChar w:fldCharType="end"/>
            </w:r>
          </w:p>
        </w:tc>
        <w:tc>
          <w:tcPr>
            <w:tcW w:w="709" w:type="dxa"/>
            <w:noWrap/>
            <w:hideMark/>
          </w:tcPr>
          <w:p w14:paraId="03176E0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36</w:t>
            </w:r>
          </w:p>
        </w:tc>
        <w:tc>
          <w:tcPr>
            <w:tcW w:w="650" w:type="dxa"/>
            <w:noWrap/>
            <w:hideMark/>
          </w:tcPr>
          <w:p w14:paraId="34E57F4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13</w:t>
            </w:r>
          </w:p>
        </w:tc>
        <w:tc>
          <w:tcPr>
            <w:tcW w:w="517" w:type="dxa"/>
            <w:noWrap/>
            <w:hideMark/>
          </w:tcPr>
          <w:p w14:paraId="6350941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23</w:t>
            </w:r>
          </w:p>
        </w:tc>
        <w:tc>
          <w:tcPr>
            <w:tcW w:w="767" w:type="dxa"/>
            <w:noWrap/>
            <w:hideMark/>
          </w:tcPr>
          <w:p w14:paraId="254F4520"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95" w:type="dxa"/>
            <w:noWrap/>
            <w:hideMark/>
          </w:tcPr>
          <w:p w14:paraId="6D1BAA9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22-46</w:t>
            </w:r>
          </w:p>
        </w:tc>
        <w:tc>
          <w:tcPr>
            <w:tcW w:w="1907" w:type="dxa"/>
            <w:noWrap/>
            <w:hideMark/>
          </w:tcPr>
          <w:p w14:paraId="596D9956"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w:t>
            </w:r>
          </w:p>
        </w:tc>
        <w:tc>
          <w:tcPr>
            <w:tcW w:w="445" w:type="dxa"/>
            <w:noWrap/>
            <w:hideMark/>
          </w:tcPr>
          <w:p w14:paraId="5CA0509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129</w:t>
            </w:r>
          </w:p>
        </w:tc>
        <w:tc>
          <w:tcPr>
            <w:tcW w:w="1681" w:type="dxa"/>
            <w:noWrap/>
            <w:hideMark/>
          </w:tcPr>
          <w:p w14:paraId="0D4043E4"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1.5T </w:t>
            </w:r>
            <w:proofErr w:type="spellStart"/>
            <w:r w:rsidRPr="00101744">
              <w:rPr>
                <w:rFonts w:ascii="Arial" w:eastAsia="Times New Roman" w:hAnsi="Arial" w:cs="Arial"/>
                <w:color w:val="000000"/>
                <w:sz w:val="18"/>
                <w:szCs w:val="18"/>
                <w:lang w:val="en-US" w:eastAsia="pt-PT"/>
              </w:rPr>
              <w:t>siemens</w:t>
            </w:r>
            <w:proofErr w:type="spellEnd"/>
          </w:p>
        </w:tc>
        <w:tc>
          <w:tcPr>
            <w:tcW w:w="1547" w:type="dxa"/>
            <w:noWrap/>
            <w:hideMark/>
          </w:tcPr>
          <w:p w14:paraId="75793A8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SPM2</w:t>
            </w:r>
          </w:p>
        </w:tc>
        <w:tc>
          <w:tcPr>
            <w:tcW w:w="1855" w:type="dxa"/>
            <w:noWrap/>
            <w:hideMark/>
          </w:tcPr>
          <w:p w14:paraId="46C7F9F4"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Pcorr</w:t>
            </w:r>
            <w:proofErr w:type="spellEnd"/>
            <w:r w:rsidRPr="00101744">
              <w:rPr>
                <w:rFonts w:ascii="Arial" w:eastAsia="Times New Roman" w:hAnsi="Arial" w:cs="Arial"/>
                <w:color w:val="000000"/>
                <w:sz w:val="18"/>
                <w:szCs w:val="18"/>
                <w:lang w:val="en-US" w:eastAsia="pt-PT"/>
              </w:rPr>
              <w:t>&lt;0.05</w:t>
            </w:r>
          </w:p>
        </w:tc>
        <w:tc>
          <w:tcPr>
            <w:tcW w:w="717" w:type="dxa"/>
            <w:noWrap/>
            <w:hideMark/>
          </w:tcPr>
          <w:p w14:paraId="00CCF17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3150</w:t>
            </w:r>
          </w:p>
        </w:tc>
        <w:tc>
          <w:tcPr>
            <w:tcW w:w="1146" w:type="dxa"/>
            <w:noWrap/>
            <w:hideMark/>
          </w:tcPr>
          <w:p w14:paraId="5158245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r>
      <w:tr w:rsidR="003D1F45" w:rsidRPr="00101744" w14:paraId="5065C2F4" w14:textId="77777777" w:rsidTr="00B60BB2">
        <w:trPr>
          <w:trHeight w:val="300"/>
        </w:trPr>
        <w:tc>
          <w:tcPr>
            <w:tcW w:w="2269" w:type="dxa"/>
            <w:noWrap/>
            <w:vAlign w:val="center"/>
            <w:hideMark/>
          </w:tcPr>
          <w:p w14:paraId="76B1ED21" w14:textId="4154E855"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{"citationItems":[{"id":"ITEM-1","itemData":{"DOI":"10.1002/mds.21548","ISBN":"0885-3185 (Print)\\r0885-3185 (Linking)","ISSN":"08853185","PMID":"17683056","abstract":"Parkinson's disease (PD) affects speech, including respiration, phonation, and articulation. We measured the blood oxygen level-dependent (BOLD) response to overt sentence reading in: (1) 9 treated female patients with mild to moderate PD (age; mean 66.0 +/- 11.6 years, mean levodopa equivalent 583.3 +/- 397.9 mg) and (2) 8 age-matched healthy female controls (age; mean 62.2 years +/- 12.3). Speech was recorded in the scanner to assess which brain regions underlie variations in the initiation and paralinguistic aspects (e.g., pitch, loudness, and rate) of speech production in the two groups. There were no differences in paralinguistic aspects of speech except for speech loudness; it was lower in PD patients compared with that in controls, when age was used as a covariate. In both groups, we observed increases in the BOLD response (reading-baseline) in brain regions involved in speech production and perception. In PD patients, as compared with controls, we found significantly higher BOLD signal in the right primary orofacial sensorimotor cortex and more robust correlations between the measured speech parameters and the BOLD response to reading, particularly, in the left primary orofacial sensorimotor cortex. These results might reflect compensatory mechanisms and/or treatment effects that take place in mild to moderately ill PD patients with quality of speech yet comparable with that of age-matched controls.","author":[{"dropping-particle":"","family":"Rektorova","given":"Irena","non-dropping-particle":"","parse-names":false,"suffix":""},{"dropping-particle":"","family":"Barrett","given":"Jennifer","non-dropping-particle":"","parse-names":false,"suffix":""},{"dropping-particle":"","family":"Mikl","given":"Michal","non-dropping-particle":"","parse-names":false,"suffix":""},{"dropping-particle":"","family":"Rektor","given":"Ivan","non-dropping-particle":"","parse-names":false,"suffix":""},{"dropping-particle":"","family":"Paus","given":"Tomas","non-dropping-particle":"","parse-names":false,"suffix":""}],"container-title":"Movement Disorders","id":"ITEM-1","issue":"14","issued":{"date-parts":[["2007","10","31"]]},"page":"2043-2051","title":"Functional abnormalities in the primary orofacial sensorimotor cortex during speech in Parkinson's disease","type":"article-journal","volume":"22"},"uris":["http://www.mendeley.com/documents/?uuid=9ffb5c6a-f034-38b4-b427-044c501c9a32"]}],"mendeley":{"formattedCitation":"(Rektorova et al. 2007)","plainTextFormattedCitation":"(Rektorova et al. 2007)","previouslyFormattedCitation":"&lt;sup&gt;26&lt;/sup&gt;"},"properties":{"noteIndex":0},"schema":"https://github.com/citation-style-language/schema/raw/master/csl-citation.json"}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(Rektorova et al. 2007)</w:t>
            </w:r>
            <w:r w:rsidRPr="00101744">
              <w:rPr>
                <w:rFonts w:ascii="Arial" w:eastAsia="Times New Roman" w:hAnsi="Arial" w:cs="Arial"/>
                <w:color w:val="000000"/>
                <w:sz w:val="18"/>
                <w:szCs w:val="18"/>
                <w:lang w:val="en-US" w:eastAsia="pt-PT"/>
              </w:rPr>
              <w:fldChar w:fldCharType="end"/>
            </w:r>
          </w:p>
        </w:tc>
        <w:tc>
          <w:tcPr>
            <w:tcW w:w="709" w:type="dxa"/>
            <w:noWrap/>
            <w:hideMark/>
          </w:tcPr>
          <w:p w14:paraId="22E2F3E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650" w:type="dxa"/>
            <w:noWrap/>
            <w:hideMark/>
          </w:tcPr>
          <w:p w14:paraId="77B330B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517" w:type="dxa"/>
            <w:noWrap/>
            <w:hideMark/>
          </w:tcPr>
          <w:p w14:paraId="305FDF5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0</w:t>
            </w:r>
          </w:p>
        </w:tc>
        <w:tc>
          <w:tcPr>
            <w:tcW w:w="767" w:type="dxa"/>
            <w:noWrap/>
            <w:hideMark/>
          </w:tcPr>
          <w:p w14:paraId="69084CA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62</w:t>
            </w:r>
          </w:p>
        </w:tc>
        <w:tc>
          <w:tcPr>
            <w:tcW w:w="695" w:type="dxa"/>
            <w:noWrap/>
            <w:hideMark/>
          </w:tcPr>
          <w:p w14:paraId="7E7144AF"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907" w:type="dxa"/>
            <w:noWrap/>
            <w:hideMark/>
          </w:tcPr>
          <w:p w14:paraId="5A64D93F"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sentences</w:t>
            </w:r>
          </w:p>
        </w:tc>
        <w:tc>
          <w:tcPr>
            <w:tcW w:w="445" w:type="dxa"/>
            <w:noWrap/>
            <w:hideMark/>
          </w:tcPr>
          <w:p w14:paraId="69EF207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35</w:t>
            </w:r>
          </w:p>
        </w:tc>
        <w:tc>
          <w:tcPr>
            <w:tcW w:w="1681" w:type="dxa"/>
            <w:noWrap/>
            <w:hideMark/>
          </w:tcPr>
          <w:p w14:paraId="15BDB2F4"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1.5T </w:t>
            </w:r>
            <w:proofErr w:type="spellStart"/>
            <w:r w:rsidRPr="00101744">
              <w:rPr>
                <w:rFonts w:ascii="Arial" w:eastAsia="Times New Roman" w:hAnsi="Arial" w:cs="Arial"/>
                <w:color w:val="000000"/>
                <w:sz w:val="18"/>
                <w:szCs w:val="18"/>
                <w:lang w:val="en-US" w:eastAsia="pt-PT"/>
              </w:rPr>
              <w:t>Shymphony</w:t>
            </w:r>
            <w:proofErr w:type="spellEnd"/>
            <w:r w:rsidRPr="00101744">
              <w:rPr>
                <w:rFonts w:ascii="Arial" w:eastAsia="Times New Roman" w:hAnsi="Arial" w:cs="Arial"/>
                <w:color w:val="000000"/>
                <w:sz w:val="18"/>
                <w:szCs w:val="18"/>
                <w:lang w:val="en-US" w:eastAsia="pt-PT"/>
              </w:rPr>
              <w:t xml:space="preserve"> Siemens</w:t>
            </w:r>
          </w:p>
        </w:tc>
        <w:tc>
          <w:tcPr>
            <w:tcW w:w="1547" w:type="dxa"/>
            <w:noWrap/>
            <w:hideMark/>
          </w:tcPr>
          <w:p w14:paraId="2986EAD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37EB4C43"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voxelwise</w:t>
            </w:r>
            <w:proofErr w:type="spellEnd"/>
            <w:r w:rsidRPr="00101744">
              <w:rPr>
                <w:rFonts w:ascii="Arial" w:eastAsia="Times New Roman" w:hAnsi="Arial" w:cs="Arial"/>
                <w:color w:val="000000"/>
                <w:sz w:val="18"/>
                <w:szCs w:val="18"/>
                <w:lang w:val="en-US" w:eastAsia="pt-PT"/>
              </w:rPr>
              <w:t xml:space="preserve"> threshold p&lt;0.001</w:t>
            </w:r>
          </w:p>
        </w:tc>
        <w:tc>
          <w:tcPr>
            <w:tcW w:w="717" w:type="dxa"/>
            <w:noWrap/>
            <w:hideMark/>
          </w:tcPr>
          <w:p w14:paraId="58D9753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3800</w:t>
            </w:r>
          </w:p>
        </w:tc>
        <w:tc>
          <w:tcPr>
            <w:tcW w:w="1146" w:type="dxa"/>
            <w:noWrap/>
            <w:hideMark/>
          </w:tcPr>
          <w:p w14:paraId="2973894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1.7</w:t>
            </w:r>
          </w:p>
        </w:tc>
      </w:tr>
      <w:tr w:rsidR="003D1F45" w:rsidRPr="00101744" w14:paraId="7770EAC2" w14:textId="77777777" w:rsidTr="00B60BB2">
        <w:trPr>
          <w:trHeight w:val="300"/>
        </w:trPr>
        <w:tc>
          <w:tcPr>
            <w:tcW w:w="2269" w:type="dxa"/>
            <w:noWrap/>
            <w:vAlign w:val="center"/>
            <w:hideMark/>
          </w:tcPr>
          <w:p w14:paraId="6AF4EEE4" w14:textId="647DDA1B"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{"citationItems":[{"id":"ITEM-1","itemData":{"DOI":"10.1016/j.neuroimage.2007.09.054","ISBN":"1053-8119","ISSN":"10538119","PMID":"18035557","abstract":"The neural substrates underlying auditory feedback control of speech were investigated using a combination of functional magnetic resonance imaging (fMRI) and computational modeling. Neural responses were measured while subjects spoke monosyllabic words under two conditions: (i) normal auditory feedback of their speech and (ii) auditory feedback in which the first formant frequency of their speech was unexpectedly shifted in real time. Acoustic measurements showed compensation to the shift within approximately 136 ms of onset. Neuroimaging revealed increased activity in bilateral superior temporal cortex during shifted feedback, indicative of neurons coding mismatches between expected and actual auditory signals, as well as right prefrontal and Rolandic cortical activity. Structural equation modeling revealed increased influence of bilateral auditory cortical areas on right frontal areas during shifted speech, indicating that projections from auditory error cells in posterior superior temporal cortex to motor correction cells in right frontal cortex mediate auditory feedback control of speech. © 2007 Elsevier Inc. All rights reserved.","author":[{"dropping-particle":"","family":"Tourville","given":"Jason A.","non-dropping-particle":"","parse-names":false,"suffix":""},{"dropping-particle":"","family":"Reilly","given":"Kevin J.","non-dropping-particle":"","parse-names":false,"suffix":""},{"dropping-particle":"","family":"Guenther","given":"Frank H.","non-dropping-particle":"","parse-names":false,"suffix":""}],"container-title":"NeuroImage","id":"ITEM-1","issue":"3","issued":{"date-parts":[["2008","2","1"]]},"page":"1429-1443","title":"Neural mechanisms underlying auditory feedback control of speech","type":"article-journal","volume":"39"},"uris":["http://www.mendeley.com/documents/?uuid=9b51a0a9-f51f-300a-be26-4958aa251587"]}],"mendeley":{"formattedCitation":"(Tourville, Reilly, and Guenther 2008)","plainTextFormattedCitation":"(Tourville, Reilly, and Guenther 2008)","previouslyFormattedCitation":"&lt;sup&gt;27&lt;/sup&gt;"},"properties":{"noteIndex":0},"schema":"https://github.com/citation-style-language/schema/raw/master/csl-citation.json"}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(Tourville, Reilly, and Guenther 2008)</w:t>
            </w:r>
            <w:r w:rsidRPr="00101744">
              <w:rPr>
                <w:rFonts w:ascii="Arial" w:eastAsia="Times New Roman" w:hAnsi="Arial" w:cs="Arial"/>
                <w:color w:val="000000"/>
                <w:sz w:val="18"/>
                <w:szCs w:val="18"/>
                <w:lang w:val="en-US" w:eastAsia="pt-PT"/>
              </w:rPr>
              <w:fldChar w:fldCharType="end"/>
            </w:r>
          </w:p>
        </w:tc>
        <w:tc>
          <w:tcPr>
            <w:tcW w:w="709" w:type="dxa"/>
            <w:noWrap/>
            <w:hideMark/>
          </w:tcPr>
          <w:p w14:paraId="517DA26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11</w:t>
            </w:r>
          </w:p>
        </w:tc>
        <w:tc>
          <w:tcPr>
            <w:tcW w:w="650" w:type="dxa"/>
            <w:noWrap/>
            <w:hideMark/>
          </w:tcPr>
          <w:p w14:paraId="5BCB3F5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w:t>
            </w:r>
          </w:p>
        </w:tc>
        <w:tc>
          <w:tcPr>
            <w:tcW w:w="517" w:type="dxa"/>
            <w:noWrap/>
            <w:hideMark/>
          </w:tcPr>
          <w:p w14:paraId="1F49360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w:t>
            </w:r>
          </w:p>
        </w:tc>
        <w:tc>
          <w:tcPr>
            <w:tcW w:w="767" w:type="dxa"/>
            <w:noWrap/>
            <w:hideMark/>
          </w:tcPr>
          <w:p w14:paraId="56ABAE4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28</w:t>
            </w:r>
          </w:p>
        </w:tc>
        <w:tc>
          <w:tcPr>
            <w:tcW w:w="695" w:type="dxa"/>
            <w:noWrap/>
            <w:hideMark/>
          </w:tcPr>
          <w:p w14:paraId="134A731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23-36</w:t>
            </w:r>
          </w:p>
        </w:tc>
        <w:tc>
          <w:tcPr>
            <w:tcW w:w="1907" w:type="dxa"/>
            <w:noWrap/>
            <w:hideMark/>
          </w:tcPr>
          <w:p w14:paraId="2A2D7519"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aloud</w:t>
            </w:r>
          </w:p>
        </w:tc>
        <w:tc>
          <w:tcPr>
            <w:tcW w:w="445" w:type="dxa"/>
            <w:noWrap/>
            <w:hideMark/>
          </w:tcPr>
          <w:p w14:paraId="2CF207B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60</w:t>
            </w:r>
          </w:p>
        </w:tc>
        <w:tc>
          <w:tcPr>
            <w:tcW w:w="1681" w:type="dxa"/>
            <w:noWrap/>
            <w:hideMark/>
          </w:tcPr>
          <w:p w14:paraId="5C1EC3D5"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3T Trio Siemens</w:t>
            </w:r>
          </w:p>
        </w:tc>
        <w:tc>
          <w:tcPr>
            <w:tcW w:w="1547" w:type="dxa"/>
            <w:noWrap/>
            <w:hideMark/>
          </w:tcPr>
          <w:p w14:paraId="234B9FB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SPM2</w:t>
            </w:r>
          </w:p>
        </w:tc>
        <w:tc>
          <w:tcPr>
            <w:tcW w:w="1855" w:type="dxa"/>
            <w:noWrap/>
            <w:hideMark/>
          </w:tcPr>
          <w:p w14:paraId="273BFBF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P(FDR)&lt;0.05</w:t>
            </w:r>
          </w:p>
        </w:tc>
        <w:tc>
          <w:tcPr>
            <w:tcW w:w="717" w:type="dxa"/>
            <w:noWrap/>
            <w:hideMark/>
          </w:tcPr>
          <w:p w14:paraId="433CFDB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6" w:type="dxa"/>
            <w:noWrap/>
            <w:hideMark/>
          </w:tcPr>
          <w:p w14:paraId="15DDC23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3.125</w:t>
            </w:r>
          </w:p>
        </w:tc>
      </w:tr>
      <w:tr w:rsidR="003D1F45" w:rsidRPr="00101744" w14:paraId="43037275" w14:textId="77777777" w:rsidTr="00B60BB2">
        <w:trPr>
          <w:trHeight w:val="300"/>
        </w:trPr>
        <w:tc>
          <w:tcPr>
            <w:tcW w:w="2269" w:type="dxa"/>
            <w:noWrap/>
            <w:vAlign w:val="center"/>
            <w:hideMark/>
          </w:tcPr>
          <w:p w14:paraId="41EAFD74" w14:textId="61465D1F"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{"citationItems":[{"id":"ITEM-1","itemData":{"DOI":"10.1093/brain/awn300","ISSN":"1460-2156","PMID":"19022856","abstract":"Semantic dementia (SD) is a neurodegenerative disease characterized by atrophy of anterior temporal regions and progressive loss of semantic memory. SD patients often present with surface dyslexia, a relatively selective impairment in reading low-frequency words with exceptional or atypical spelling-to-sound correspondences. Exception words are typically 'over-regularized' in SD and pronounced as they are spelled (e.g. 'sew' is pronounced as 'sue'). This suggests that in the absence of sufficient item-specific knowledge, exception words are read by relying mainly on subword processes for regular mapping of orthography to phonology. In this study, we investigated the functional anatomy of surface dyslexia in SD using functional magnetic resonance imaging (fMRI) and studied its relationship to structural damage with voxel-based morphometry (VBM). Five SD patients and nine healthy age-matched controls were scanned while they read regular words, exception words and pseudowords in an event-related design. Vocal responses were recorded and revealed that all patients were impaired in reading low-frequency exception words, and made frequent over-regularization errors. Consistent with prior studies, fMRI data revealed that both groups activated a similar basic network of bilateral occipital, motor and premotor regions for reading single words. VBM showed that these regions were not significantly atrophied in SD. In control subjects, a region in the left intraparietal sulcus was activated for reading pseudowords and low-frequency regular words but not exception words, suggesting a role for this area in subword mapping from orthographic to phonological representations. In SD patients only, this inferior parietal region, which was not atrophied, was also activated by reading low-frequency exception words, especially on trials where over-regularization errors occurred. These results suggest that the left intraparietal sulcus is involved in subword reading processes that are differentially recruited in SD when word-specific information is lost. This loss is likely related to degeneration of the anterior temporal lobe, which was severely atrophied in SD. Consistent with this, left mid-fusiform and superior temporal regions that showed reading-related activations in controls were not activated in SD. Taken together, these results suggest that the left inferior parietal region subserves subword orthographic-to-phonological processes that are recruited for exception word…","author":[{"dropping-particle":"","family":"Wilson","given":"Stephen M.","non-dropping-particle":"","parse-names":false,"suffix":""},{"dropping-particle":"","family":"Brambati","given":"Simona M.","non</w:instrText>
            </w:r>
            <w:r w:rsidR="00C14016" w:rsidRPr="00C14016">
              <w:rPr>
                <w:rFonts w:ascii="Arial" w:hAnsi="Arial" w:cs="Arial"/>
                <w:color w:val="000000"/>
                <w:sz w:val="18"/>
                <w:szCs w:val="18"/>
                <w:lang w:val="en-GB" w:eastAsia="pt-PT"/>
              </w:rPr>
              <w:instrText>-dropping-particle":"","parse-names":false,"suffix":""},{"dropping-particle":"","family":"Henry","given":"Roland G.","non-dropping-particle":"","parse-names":false,"suffix":""},{"dropping-particle":"","family":"Handwerker","given":"Daniel A.","non-dropping-particle":"","parse-names":false,"suffix":""},{"dropping-particle":"","family":"Agosta","given":"Federica","non-dropping-particle":"","parse-names":false,"suffix":""},{"dropping-particle":"","family":"Miller","given":"Bruce L.","non-dropping-particle":"","parse-names":false,"suffix":""},{"dropping-particle":"","family":"Wilkins","given":"David P.","non-dropping-particle":"","parse-names":false,"suffix":""},{"dropping-particle":"","family":"Ogar","given":"Jennifer M.","non-dropping-particle":"","parse-names":false,"suffix":""},{"dropping-particle":"","family":"Gorno-Tempini","given":"Maria Luisa","non-dropping-particle":"","parse-names":false,"suffix":""}],"container-title":"Brain","id":"ITEM-1","issue":"1","issued":{"date-parts":[["2009","1"]]},"page":"71-86","title":"The neural basis of surface dyslexia in semantic dementia","type":"article-journal","volume":"132"},"uris":["http://www.mendeley.com/documents/?uuid=aafe99f0-ccbb-320d-a1db-61558cf8cba2"]}],"mendeley":{"formattedCitation":"(Wilson et al. 2009)","plainTextFormattedCitation":"(Wilson et al. 2009)","previouslyFormattedCitation":"&lt;sup&gt;28&lt;/sup&gt;"},"properties":{"noteIndex":0},"schema":"https://github.com/citation-style-language/schema/raw/master/csl-citation.json"}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(Wilson et al. 2009)</w:t>
            </w:r>
            <w:r w:rsidRPr="00101744">
              <w:rPr>
                <w:rFonts w:ascii="Arial" w:eastAsia="Times New Roman" w:hAnsi="Arial" w:cs="Arial"/>
                <w:color w:val="000000"/>
                <w:sz w:val="18"/>
                <w:szCs w:val="18"/>
                <w:lang w:val="en-US" w:eastAsia="pt-PT"/>
              </w:rPr>
              <w:fldChar w:fldCharType="end"/>
            </w:r>
          </w:p>
        </w:tc>
        <w:tc>
          <w:tcPr>
            <w:tcW w:w="709" w:type="dxa"/>
            <w:noWrap/>
            <w:hideMark/>
          </w:tcPr>
          <w:p w14:paraId="6F0A110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9</w:t>
            </w:r>
          </w:p>
        </w:tc>
        <w:tc>
          <w:tcPr>
            <w:tcW w:w="650" w:type="dxa"/>
            <w:noWrap/>
            <w:hideMark/>
          </w:tcPr>
          <w:p w14:paraId="703CE54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w:t>
            </w:r>
          </w:p>
        </w:tc>
        <w:tc>
          <w:tcPr>
            <w:tcW w:w="517" w:type="dxa"/>
            <w:noWrap/>
            <w:hideMark/>
          </w:tcPr>
          <w:p w14:paraId="6B33DE0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7</w:t>
            </w:r>
          </w:p>
        </w:tc>
        <w:tc>
          <w:tcPr>
            <w:tcW w:w="767" w:type="dxa"/>
            <w:noWrap/>
            <w:hideMark/>
          </w:tcPr>
          <w:p w14:paraId="3FD9B6A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66</w:t>
            </w:r>
          </w:p>
        </w:tc>
        <w:tc>
          <w:tcPr>
            <w:tcW w:w="695" w:type="dxa"/>
            <w:noWrap/>
            <w:hideMark/>
          </w:tcPr>
          <w:p w14:paraId="1E409469"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907" w:type="dxa"/>
            <w:noWrap/>
            <w:hideMark/>
          </w:tcPr>
          <w:p w14:paraId="2E8A4A06"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(overt)</w:t>
            </w:r>
          </w:p>
        </w:tc>
        <w:tc>
          <w:tcPr>
            <w:tcW w:w="445" w:type="dxa"/>
            <w:noWrap/>
            <w:hideMark/>
          </w:tcPr>
          <w:p w14:paraId="0A46A5C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48</w:t>
            </w:r>
          </w:p>
        </w:tc>
        <w:tc>
          <w:tcPr>
            <w:tcW w:w="1681" w:type="dxa"/>
            <w:noWrap/>
            <w:hideMark/>
          </w:tcPr>
          <w:p w14:paraId="53522505"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3T </w:t>
            </w:r>
            <w:proofErr w:type="spellStart"/>
            <w:r w:rsidRPr="00101744">
              <w:rPr>
                <w:rFonts w:ascii="Arial" w:eastAsia="Times New Roman" w:hAnsi="Arial" w:cs="Arial"/>
                <w:color w:val="000000"/>
                <w:sz w:val="18"/>
                <w:szCs w:val="18"/>
                <w:lang w:val="en-US" w:eastAsia="pt-PT"/>
              </w:rPr>
              <w:t>Signa</w:t>
            </w:r>
            <w:proofErr w:type="spellEnd"/>
            <w:r w:rsidRPr="00101744">
              <w:rPr>
                <w:rFonts w:ascii="Arial" w:eastAsia="Times New Roman" w:hAnsi="Arial" w:cs="Arial"/>
                <w:color w:val="000000"/>
                <w:sz w:val="18"/>
                <w:szCs w:val="18"/>
                <w:lang w:val="en-US" w:eastAsia="pt-PT"/>
              </w:rPr>
              <w:t xml:space="preserve"> GE</w:t>
            </w:r>
          </w:p>
        </w:tc>
        <w:tc>
          <w:tcPr>
            <w:tcW w:w="1547" w:type="dxa"/>
            <w:noWrap/>
            <w:hideMark/>
          </w:tcPr>
          <w:p w14:paraId="1163225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SPM5</w:t>
            </w:r>
          </w:p>
        </w:tc>
        <w:tc>
          <w:tcPr>
            <w:tcW w:w="1855" w:type="dxa"/>
            <w:noWrap/>
            <w:hideMark/>
          </w:tcPr>
          <w:p w14:paraId="2328F7D7"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voxelwise</w:t>
            </w:r>
            <w:proofErr w:type="spellEnd"/>
            <w:r w:rsidRPr="00101744">
              <w:rPr>
                <w:rFonts w:ascii="Arial" w:eastAsia="Times New Roman" w:hAnsi="Arial" w:cs="Arial"/>
                <w:color w:val="000000"/>
                <w:sz w:val="18"/>
                <w:szCs w:val="18"/>
                <w:lang w:val="en-US" w:eastAsia="pt-PT"/>
              </w:rPr>
              <w:t xml:space="preserve"> threshold p&lt;0.001</w:t>
            </w:r>
          </w:p>
        </w:tc>
        <w:tc>
          <w:tcPr>
            <w:tcW w:w="717" w:type="dxa"/>
            <w:noWrap/>
            <w:hideMark/>
          </w:tcPr>
          <w:p w14:paraId="75B8A83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1650</w:t>
            </w:r>
          </w:p>
        </w:tc>
        <w:tc>
          <w:tcPr>
            <w:tcW w:w="1146" w:type="dxa"/>
            <w:noWrap/>
            <w:hideMark/>
          </w:tcPr>
          <w:p w14:paraId="481AB0F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3.4</w:t>
            </w:r>
          </w:p>
        </w:tc>
      </w:tr>
      <w:tr w:rsidR="003D1F45" w:rsidRPr="00101744" w14:paraId="25CB2078" w14:textId="77777777" w:rsidTr="00B60BB2">
        <w:trPr>
          <w:trHeight w:val="300"/>
        </w:trPr>
        <w:tc>
          <w:tcPr>
            <w:tcW w:w="2269" w:type="dxa"/>
            <w:noWrap/>
            <w:vAlign w:val="center"/>
            <w:hideMark/>
          </w:tcPr>
          <w:p w14:paraId="764AC8F8" w14:textId="4250148F"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{"citationItems":[{"id":"ITEM-1","itemData":{"DOI":"10.1097/01.wnr.0000116967.73984.11","ISSN":"0959-4965","PMID":"15094461","abstract":"Word reading is considered a highly over-learned task. If true, then practice should have no effect on its performance or associated functional brain anatomy. We tested this hypothesis in two experiments of skilled readers repeatedly reading the same list of nouns (1 session, 10 runs). In Experiment 1 we used fMRI to monitor the changes in brain activity. In Experiment 2 we recorded voice onset latency reaction times. Neither experiment showed changes as an effect of practice. In a third experiment, Experiment 3, we examined the behavioral effect of prolonged practice on the word association task of verb generation for which reading nouns aloud has served as a control. Both short (1 session, 10 runs) and long term (15 days, 150 runs) effects were noted providing a new perspective on functional anatomical differences between word reading and verb generation previously noted after short periods of practice.","author":[{"dropping-particle":"","family":"Kerr","given":"Deborah L","non-dropping-particle":"","parse-names":false,"suffix":""},{"dropping-particle":"","family":"Gusnard","given":"Debra A","non-dropping-particle":"","parse-names":false,"suffix":""},{"dropping-particle":"","family":"Snyder","given":"Abraham Z","non</w:instrText>
            </w:r>
            <w:r w:rsidR="00C14016">
              <w:rPr>
                <w:rFonts w:ascii="Arial" w:hAnsi="Arial" w:cs="Arial"/>
                <w:color w:val="000000"/>
                <w:sz w:val="18"/>
                <w:szCs w:val="18"/>
                <w:lang w:eastAsia="pt-PT"/>
              </w:rPr>
              <w:instrText>-dropping-particle":"","parse-names":false,"suffix":""},{"dropping-particle":"","family":"Raichle","given":"Marcus E","non-dropping-particle":"","parse-names":false,"suffix":""}],"container-title":"Neuroreport","id":"ITEM-1","issue":"4","issued":{"date-parts":[["2004","3","22"]]},"page":"607-10","title":"Effect of practice on reading performance and brain function.","type":"article-journal","volume":"15"},"uris":["http://www.mendeley.com/documents/?uuid=5fecac83-f4a7-34de-9a88-2ea0781b24a6"]}],"mendeley":{"formattedCitation":"(Kerr et al. 2004)","plainTextFormattedCitation":"(Kerr et al. 2004)","previouslyFormattedCitation":"&lt;sup&gt;29&lt;/sup&gt;"},"properties":{"noteIndex":0},"schema":"https://github.com/citation-style-language/schema/raw/master/csl-citation.json"}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(Kerr et al. 2004)</w:t>
            </w:r>
            <w:r w:rsidRPr="00101744">
              <w:rPr>
                <w:rFonts w:ascii="Arial" w:eastAsia="Times New Roman" w:hAnsi="Arial" w:cs="Arial"/>
                <w:color w:val="000000"/>
                <w:sz w:val="18"/>
                <w:szCs w:val="18"/>
                <w:lang w:val="en-US" w:eastAsia="pt-PT"/>
              </w:rPr>
              <w:fldChar w:fldCharType="end"/>
            </w:r>
          </w:p>
        </w:tc>
        <w:tc>
          <w:tcPr>
            <w:tcW w:w="709" w:type="dxa"/>
            <w:noWrap/>
            <w:hideMark/>
          </w:tcPr>
          <w:p w14:paraId="2E0CC37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14</w:t>
            </w:r>
          </w:p>
        </w:tc>
        <w:tc>
          <w:tcPr>
            <w:tcW w:w="650" w:type="dxa"/>
            <w:noWrap/>
            <w:hideMark/>
          </w:tcPr>
          <w:p w14:paraId="3AB358F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w:t>
            </w:r>
          </w:p>
        </w:tc>
        <w:tc>
          <w:tcPr>
            <w:tcW w:w="517" w:type="dxa"/>
            <w:noWrap/>
            <w:hideMark/>
          </w:tcPr>
          <w:p w14:paraId="0D68C01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767" w:type="dxa"/>
            <w:noWrap/>
            <w:hideMark/>
          </w:tcPr>
          <w:p w14:paraId="069D18D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21</w:t>
            </w:r>
          </w:p>
        </w:tc>
        <w:tc>
          <w:tcPr>
            <w:tcW w:w="695" w:type="dxa"/>
            <w:noWrap/>
            <w:hideMark/>
          </w:tcPr>
          <w:p w14:paraId="53CE4FE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19-24</w:t>
            </w:r>
          </w:p>
        </w:tc>
        <w:tc>
          <w:tcPr>
            <w:tcW w:w="1907" w:type="dxa"/>
            <w:noWrap/>
            <w:hideMark/>
          </w:tcPr>
          <w:p w14:paraId="2CDB8D42"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(overt)</w:t>
            </w:r>
          </w:p>
        </w:tc>
        <w:tc>
          <w:tcPr>
            <w:tcW w:w="445" w:type="dxa"/>
            <w:noWrap/>
            <w:hideMark/>
          </w:tcPr>
          <w:p w14:paraId="7DC6F5F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22</w:t>
            </w:r>
          </w:p>
        </w:tc>
        <w:tc>
          <w:tcPr>
            <w:tcW w:w="3228" w:type="dxa"/>
            <w:gridSpan w:val="2"/>
            <w:noWrap/>
            <w:hideMark/>
          </w:tcPr>
          <w:p w14:paraId="54D7E305"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3T Allegra Siemens</w:t>
            </w:r>
          </w:p>
        </w:tc>
        <w:tc>
          <w:tcPr>
            <w:tcW w:w="1855" w:type="dxa"/>
            <w:noWrap/>
            <w:hideMark/>
          </w:tcPr>
          <w:p w14:paraId="792D173F"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717" w:type="dxa"/>
            <w:noWrap/>
            <w:hideMark/>
          </w:tcPr>
          <w:p w14:paraId="51E1C35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5000</w:t>
            </w:r>
          </w:p>
        </w:tc>
        <w:tc>
          <w:tcPr>
            <w:tcW w:w="1146" w:type="dxa"/>
            <w:noWrap/>
            <w:hideMark/>
          </w:tcPr>
          <w:p w14:paraId="5D0F0F4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r>
      <w:tr w:rsidR="003D1F45" w:rsidRPr="00101744" w14:paraId="2026C74A" w14:textId="77777777" w:rsidTr="00B60BB2">
        <w:trPr>
          <w:trHeight w:val="300"/>
        </w:trPr>
        <w:tc>
          <w:tcPr>
            <w:tcW w:w="2269" w:type="dxa"/>
            <w:noWrap/>
            <w:vAlign w:val="center"/>
            <w:hideMark/>
          </w:tcPr>
          <w:p w14:paraId="7CA95C1B" w14:textId="20103713"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{"citationItems":[{"id":"ITEM-1","itemData":{"DOI":"10.1111/j.1460-9568.2008.06143.x","ISSN":"0953-816X","PMID":"18380676","abstract":"Category-specific brain activation distinguishing between semantic word types has imposed challenges on theories of semantic representations and processes. However, existing metabolic imaging data are still ambiguous about whether these category-specific activations reflect processes involved in accessing the semantic representation of the stimuli, or secondary processes such as deliberate mental imagery. Further information about the response characteristics of category-specific activation is still required. Our study for the first time investigated the differential impact of word frequency on functional magnetic resonance imaging (fMRI) responses to action-related words and visually related words, respectively. First, we corroborated previous results showing that action-relatedness modulates neural responses in action-related areas, while word imageability modulates activation in object processing areas. Second, we provide novel results showing that activation negatively correlated with word frequency in the left fusiform gyrus was specific for visually related words, while in the left middle temporal gyrus word frequency effects emerged only for action-related words. Following the dominant view in the literature that effects of word frequency mainly reflect access to lexico-semantic information, we suggest that category-specific brain activation reflects distributed neuronal ensembles, which ground language and concepts in perception-action systems of the human brain. Our approach can be applied to any event-related data using single-stimulus presentation, and allows a detailed characterization of the functional role of category-specific activation patterns.","author":[{"dropping-particle":"","family":"Hauk","given":"Olaf","non-dropping-particle":"","parse-names":false,"suffix":""},{"dropping-particle":"","family":"Davis","given":"Matthew H.","non-dropping-particle":"","parse-names":false,"suffix":""},{"dropping-particle":"","family":"Kherif","given":"Ferath","non-dropping-particle":"","parse-names":false,"suffix":""},{"dropping-particle":"","family":"Pulvermüller","given":"Friedemann","non-dropping-particle":"","parse-names":false,"suffix":""}],"container-title":"European Journal of Neuroscience","id":"ITEM-1","issue":"7","issued":{"date-parts":[["2008","4"]]},"page":"1856-1866","title":"Imagery or meaning? Evidence for a semantic origin of category-specific brain activity in metabolic imaging","type":"article-journal","volume":"27"},"uris":["http://www.mendeley.com/documents/?uuid=cda2b718-4acb-3639-aca4-f1ee03402149"]}],"mendeley":{"formattedCitation":"(Hauk et al. 2008)","plainTextFormattedCitation":"(Hauk et al. 2008)","previouslyFormattedCitation":"&lt;sup&gt;30&lt;/sup&gt;"},"properties":{"noteIndex":0},"schema":"https://github.com/citation-style-language/schema/raw/master/csl-citation.json"}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(Hauk et al. 2008)</w:t>
            </w:r>
            <w:r w:rsidRPr="00101744">
              <w:rPr>
                <w:rFonts w:ascii="Arial" w:eastAsia="Times New Roman" w:hAnsi="Arial" w:cs="Arial"/>
                <w:color w:val="000000"/>
                <w:sz w:val="18"/>
                <w:szCs w:val="18"/>
                <w:lang w:val="en-US" w:eastAsia="pt-PT"/>
              </w:rPr>
              <w:fldChar w:fldCharType="end"/>
            </w:r>
          </w:p>
        </w:tc>
        <w:tc>
          <w:tcPr>
            <w:tcW w:w="709" w:type="dxa"/>
            <w:noWrap/>
            <w:hideMark/>
          </w:tcPr>
          <w:p w14:paraId="083F60B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21</w:t>
            </w:r>
          </w:p>
        </w:tc>
        <w:tc>
          <w:tcPr>
            <w:tcW w:w="650" w:type="dxa"/>
            <w:noWrap/>
            <w:hideMark/>
          </w:tcPr>
          <w:p w14:paraId="026DE4F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11</w:t>
            </w:r>
          </w:p>
        </w:tc>
        <w:tc>
          <w:tcPr>
            <w:tcW w:w="517" w:type="dxa"/>
            <w:noWrap/>
            <w:hideMark/>
          </w:tcPr>
          <w:p w14:paraId="4CF65A3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c>
          <w:tcPr>
            <w:tcW w:w="767" w:type="dxa"/>
            <w:noWrap/>
            <w:hideMark/>
          </w:tcPr>
          <w:p w14:paraId="21F07C9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25</w:t>
            </w:r>
          </w:p>
        </w:tc>
        <w:tc>
          <w:tcPr>
            <w:tcW w:w="695" w:type="dxa"/>
            <w:noWrap/>
            <w:hideMark/>
          </w:tcPr>
          <w:p w14:paraId="21E8F165"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907" w:type="dxa"/>
            <w:noWrap/>
            <w:hideMark/>
          </w:tcPr>
          <w:p w14:paraId="0081742E"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(covert)</w:t>
            </w:r>
          </w:p>
        </w:tc>
        <w:tc>
          <w:tcPr>
            <w:tcW w:w="445" w:type="dxa"/>
            <w:noWrap/>
            <w:hideMark/>
          </w:tcPr>
          <w:p w14:paraId="0152BCF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9</w:t>
            </w:r>
          </w:p>
        </w:tc>
        <w:tc>
          <w:tcPr>
            <w:tcW w:w="1681" w:type="dxa"/>
            <w:noWrap/>
            <w:hideMark/>
          </w:tcPr>
          <w:p w14:paraId="5E270DD1"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3T Bruker</w:t>
            </w:r>
          </w:p>
        </w:tc>
        <w:tc>
          <w:tcPr>
            <w:tcW w:w="1547" w:type="dxa"/>
            <w:noWrap/>
            <w:hideMark/>
          </w:tcPr>
          <w:p w14:paraId="1B49ECF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7E14AFBF"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7AA7216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3020</w:t>
            </w:r>
          </w:p>
        </w:tc>
        <w:tc>
          <w:tcPr>
            <w:tcW w:w="1146" w:type="dxa"/>
            <w:noWrap/>
            <w:hideMark/>
          </w:tcPr>
          <w:p w14:paraId="78BA5A4A" w14:textId="77777777" w:rsidR="003D1F45" w:rsidRPr="00101744" w:rsidRDefault="003D1F45" w:rsidP="00B60BB2">
            <w:pPr>
              <w:jc w:val="center"/>
              <w:rPr>
                <w:rFonts w:ascii="Arial" w:eastAsia="Times New Roman" w:hAnsi="Arial" w:cs="Arial"/>
                <w:color w:val="000000"/>
                <w:sz w:val="18"/>
                <w:szCs w:val="18"/>
                <w:lang w:val="en-US" w:eastAsia="pt-PT"/>
              </w:rPr>
            </w:pPr>
          </w:p>
        </w:tc>
      </w:tr>
      <w:tr w:rsidR="003D1F45" w:rsidRPr="00101744" w14:paraId="77BEF52B" w14:textId="77777777" w:rsidTr="00B60BB2">
        <w:trPr>
          <w:trHeight w:val="300"/>
        </w:trPr>
        <w:tc>
          <w:tcPr>
            <w:tcW w:w="2269" w:type="dxa"/>
            <w:noWrap/>
            <w:vAlign w:val="center"/>
            <w:hideMark/>
          </w:tcPr>
          <w:p w14:paraId="0AB825D9" w14:textId="38639FF9" w:rsidR="003D1F45" w:rsidRPr="00101744" w:rsidRDefault="003D1F45" w:rsidP="00C14016">
            <w:pPr>
              <w:rPr>
                <w:rFonts w:ascii="Arial" w:eastAsia="Times New Roman" w:hAnsi="Arial" w:cs="Arial"/>
                <w:b/>
                <w:bCs/>
                <w:sz w:val="18"/>
                <w:szCs w:val="18"/>
                <w:lang w:val="en-US" w:eastAsia="pt-PT"/>
              </w:rPr>
            </w:pPr>
            <w:r w:rsidRPr="00101744">
              <w:rPr>
                <w:rFonts w:ascii="Arial" w:eastAsia="Times New Roman" w:hAnsi="Arial" w:cs="Arial"/>
                <w:sz w:val="18"/>
                <w:szCs w:val="18"/>
                <w:lang w:val="en-US" w:eastAsia="pt-PT"/>
              </w:rPr>
              <w:fldChar w:fldCharType="begin" w:fldLock="1"/>
            </w:r>
            <w:r w:rsidR="00C14016">
              <w:rPr>
                <w:rFonts w:ascii="Arial" w:hAnsi="Arial" w:cs="Arial"/>
                <w:sz w:val="18"/>
                <w:szCs w:val="18"/>
                <w:lang w:eastAsia="pt-PT"/>
              </w:rPr>
              <w:instrText xml:space="preserve">ADDIN CSL_CITATION {"citationItems":[{"id":"ITEM-1","itemData":{"DOI":"10.1097/JGP.0b013e3181953a02","ISBN":"1064-7481","ISSN":"15457214","PMID":"19155745","abstract":"OBJECTIVE: Previous research suggests that engaging in mentally stimulating tasks may improve brain health and cognitive abilities. Using computer search engines to find information on the Internet has become a frequent daily activity of people at any age, including middle-aged and older adults. As a preliminary means of exploring the possible influence of Internet experience on brain activation patterns, the authors performed functional magnetic resonance imaging (MRI) of the brain in older persons during search engine use and explored whether prior search engine experience was associated with the pattern of brain activation during Internet use. DESIGN: Cross-sectional, exploratory observational study PARTICIPANTS: The authors studied 24 subjects (age, 55-76 years) who were neurologically normal, of whom 12 had minimal Internet search engine experience (Net Naive group) and 12 had more extensive experience (Net Savvy group). The mean age and level of education were similar in the two groups. MEASUREMENTS: Patterns of brain activation during functional MRI scanning were determined while subjects performed a novel Internet search task, or a control task of reading text on a computer screen formatted to simulate the prototypic layout of a printed book, where the content was matched in all respects, in comparison with a nontext control task. RESULTS: The text reading task activated brain regions controlling language, reading, memory, and visual abilities, including left inferior frontal, temporal, posterior cingulate, parietal, and occipital regions, and both the magnitude and the extent of brain activation were similar in the Net Naive and Net Savvy groups. During the Internet search task, the Net Naive group showed an activation pattern similar to that of their text reading task, whereas the Net Savvy group demonstrated significant increases in signal intensity in additional regions controlling decision making, complex reasoning, and vision, including the frontal pole, anterior temporal region, anterior and posterior cingulate, and hippocampus. Internet searching was associated with a more than </w:instrText>
            </w:r>
            <w:r w:rsidR="00C14016" w:rsidRPr="00C14016">
              <w:rPr>
                <w:rFonts w:ascii="Arial" w:hAnsi="Arial" w:cs="Arial"/>
                <w:sz w:val="18"/>
                <w:szCs w:val="18"/>
                <w:lang w:val="en-GB" w:eastAsia="pt-PT"/>
              </w:rPr>
              <w:instrText>twofold increase in the extent of activation in the major regional clusters in the Net Savvy group compared with the Net Naive group (21,782 versus 8,646 total activated voxels). CONCLUSION: Although the present findings must be interpreted cautiously in light of the exploratory design of this study, they suggest that Internet searching may engage a greater extent…","author":[{"dropping-particle":"","family":"Small","given":"Gary W.","non-dropping-particle":"","parse-names":false,"suffix":""},{"dropping-particle":"","family":"Moody","given":"Teena D.","non-dropping-particle":"","parse-names":false,"suffix":""},{"dropping-particle":"","family":"Siddarth","given":"Prabha","non-dropping-particle":"","parse-names":false,"suffix":""},{"dropping-particle":"","family":"Bookheimer","given":"Susan Y.","non-dropping-particle":"","parse-names":false,"suffix":""}],"container-title":"American Journal of Geriatric Psychiatry","id":"ITEM-1","issue":"2","issued":{"date-parts":[["2009","2"]]},"page":"116-126","title":"Your brain on google: Patterns of cerebral activation during internet searching","type":"article-journal","volume":"17"},"uris":["http://www.mendeley.com/documents/?uuid=d9537fa2-422a-329f-9cdf-f59de79ed7c6"]}],"mendeley":{"formattedCitation":"(Small et al. 2009)","plainTextFormattedCitation":"(Small et al. 2009)","previouslyFormattedCitation":"&lt;sup&gt;31&lt;/sup&gt;"},"properties":{"noteIndex":0},"schema":"https://github.com/citation-style-language/schema/raw/master/csl-citation.json"}</w:instrText>
            </w:r>
            <w:r w:rsidRPr="00101744">
              <w:rPr>
                <w:rFonts w:ascii="Arial" w:eastAsia="Times New Roman" w:hAnsi="Arial" w:cs="Arial"/>
                <w:sz w:val="18"/>
                <w:szCs w:val="18"/>
                <w:lang w:val="en-US" w:eastAsia="pt-PT"/>
              </w:rPr>
              <w:fldChar w:fldCharType="separate"/>
            </w:r>
            <w:r w:rsidR="00C14016" w:rsidRPr="00C14016">
              <w:rPr>
                <w:rFonts w:ascii="Arial" w:hAnsi="Arial" w:cs="Arial"/>
                <w:noProof/>
                <w:sz w:val="18"/>
                <w:szCs w:val="18"/>
                <w:lang w:val="en-GB" w:eastAsia="pt-PT"/>
              </w:rPr>
              <w:t>(Small et al. 2009)</w:t>
            </w:r>
            <w:r w:rsidRPr="00101744">
              <w:rPr>
                <w:rFonts w:ascii="Arial" w:eastAsia="Times New Roman" w:hAnsi="Arial" w:cs="Arial"/>
                <w:sz w:val="18"/>
                <w:szCs w:val="18"/>
                <w:lang w:val="en-US" w:eastAsia="pt-PT"/>
              </w:rPr>
              <w:fldChar w:fldCharType="end"/>
            </w:r>
          </w:p>
        </w:tc>
        <w:tc>
          <w:tcPr>
            <w:tcW w:w="709" w:type="dxa"/>
            <w:noWrap/>
            <w:hideMark/>
          </w:tcPr>
          <w:p w14:paraId="55909FA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28493E0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c>
          <w:tcPr>
            <w:tcW w:w="517" w:type="dxa"/>
            <w:noWrap/>
            <w:hideMark/>
          </w:tcPr>
          <w:p w14:paraId="1CDE730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9</w:t>
            </w:r>
          </w:p>
        </w:tc>
        <w:tc>
          <w:tcPr>
            <w:tcW w:w="767" w:type="dxa"/>
            <w:noWrap/>
            <w:hideMark/>
          </w:tcPr>
          <w:p w14:paraId="1CEED7F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62</w:t>
            </w:r>
          </w:p>
        </w:tc>
        <w:tc>
          <w:tcPr>
            <w:tcW w:w="695" w:type="dxa"/>
            <w:noWrap/>
            <w:hideMark/>
          </w:tcPr>
          <w:p w14:paraId="11E0CA9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55-69</w:t>
            </w:r>
          </w:p>
        </w:tc>
        <w:tc>
          <w:tcPr>
            <w:tcW w:w="1907" w:type="dxa"/>
            <w:noWrap/>
            <w:hideMark/>
          </w:tcPr>
          <w:p w14:paraId="77C90035"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(covert) on internet</w:t>
            </w:r>
          </w:p>
        </w:tc>
        <w:tc>
          <w:tcPr>
            <w:tcW w:w="445" w:type="dxa"/>
            <w:noWrap/>
            <w:hideMark/>
          </w:tcPr>
          <w:p w14:paraId="7519ED0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41</w:t>
            </w:r>
          </w:p>
        </w:tc>
        <w:tc>
          <w:tcPr>
            <w:tcW w:w="1681" w:type="dxa"/>
            <w:noWrap/>
            <w:hideMark/>
          </w:tcPr>
          <w:p w14:paraId="7EA74ECD"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3T Allegra Siemens</w:t>
            </w:r>
          </w:p>
        </w:tc>
        <w:tc>
          <w:tcPr>
            <w:tcW w:w="1547" w:type="dxa"/>
            <w:noWrap/>
            <w:hideMark/>
          </w:tcPr>
          <w:p w14:paraId="73871B4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FMRIB</w:t>
            </w:r>
          </w:p>
        </w:tc>
        <w:tc>
          <w:tcPr>
            <w:tcW w:w="1855" w:type="dxa"/>
            <w:noWrap/>
            <w:hideMark/>
          </w:tcPr>
          <w:p w14:paraId="212DBEDF"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Pcluster</w:t>
            </w:r>
            <w:proofErr w:type="spellEnd"/>
            <w:r w:rsidRPr="00101744">
              <w:rPr>
                <w:rFonts w:ascii="Arial" w:eastAsia="Times New Roman" w:hAnsi="Arial" w:cs="Arial"/>
                <w:color w:val="000000"/>
                <w:sz w:val="18"/>
                <w:szCs w:val="18"/>
                <w:lang w:val="en-US" w:eastAsia="pt-PT"/>
              </w:rPr>
              <w:t>&lt;0.05</w:t>
            </w:r>
          </w:p>
        </w:tc>
        <w:tc>
          <w:tcPr>
            <w:tcW w:w="717" w:type="dxa"/>
            <w:noWrap/>
            <w:hideMark/>
          </w:tcPr>
          <w:p w14:paraId="7300294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2500</w:t>
            </w:r>
          </w:p>
        </w:tc>
        <w:tc>
          <w:tcPr>
            <w:tcW w:w="1146" w:type="dxa"/>
            <w:noWrap/>
            <w:hideMark/>
          </w:tcPr>
          <w:p w14:paraId="683C98C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3.1</w:t>
            </w:r>
          </w:p>
        </w:tc>
      </w:tr>
      <w:tr w:rsidR="003D1F45" w:rsidRPr="00101744" w14:paraId="355B371B" w14:textId="77777777" w:rsidTr="00B60BB2">
        <w:trPr>
          <w:trHeight w:val="300"/>
        </w:trPr>
        <w:tc>
          <w:tcPr>
            <w:tcW w:w="2269" w:type="dxa"/>
            <w:noWrap/>
            <w:vAlign w:val="center"/>
            <w:hideMark/>
          </w:tcPr>
          <w:p w14:paraId="73D066C2" w14:textId="4D22710E"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{"citationItems":[{"id":"ITEM-1","itemData":{"DOI":"10.1016/j.bandl.2012.04.002","ISSN":"0093934X","PMID":"22564749","abstract":"Many differences in brain activity have been reported between persons who stutter (PWS) and typically fluent controls during oral reading tasks. An earlier meta-analysis of imaging studies identified stutter-related regions, but recent studies report less agreement with those regions. A PET study on adult dextral PWS (n=18) and matched fluent controls (CONT, n=12) is reported that used both oral reading and monologue tasks. After correcting for speech rate differences between the groups the task-activation differences were surprisingly small. For both analyses only some regions previously considered stutter-related were more activated in the PWS group than in the CONT group, and these were also activated during eyes-closed rest (ECR). In the PWS group, stuttering frequency was correlated with cortico-striatal-thalamic circuit activity in both speaking tasks. The neuroimaging findings for the PWS group, relative to the CONT group, appear consistent with neuroanatomic abnormalities being increasingly reported among PWS.","author":[{"dropping-particle":"","family":"Ingham","given":"Roger J.","non-dropping-particle":"","parse-names":false,"suffix":""},{"dropping-particle":"","family":"Grafton","given":"Scott T.","non-</w:instrText>
            </w:r>
            <w:r w:rsidR="00C14016">
              <w:rPr>
                <w:rFonts w:ascii="Arial" w:hAnsi="Arial" w:cs="Arial"/>
                <w:color w:val="000000"/>
                <w:sz w:val="18"/>
                <w:szCs w:val="18"/>
                <w:lang w:eastAsia="pt-PT"/>
              </w:rPr>
              <w:instrText>dropping-particle":"","parse-names":false,"suffix":""},{"dropping-particle":"","family":"Bothe","given":"Anne K.","non-dropping-particle":"","parse-names":false,"suffix":""},{"dropping-particle":"","family":"Ingham","given":"Janis C.","non-dropping-particle":"","parse-names":false,"suffix":""}],"container-title":"Brain and Language","id":"ITEM-1","issue":"1","issued":{"date-parts":[["2012","7"]]},"page":"11-24","title":"Brain activity in adults who stutter: Similarities across speaking tasks and correlations with stuttering frequency and speaking rate","type":"article-journal","volume":"122"},"uris":["http://www.mendeley.com/documents/?uuid=a91732aa-a956-377f-9493-5e899c4aa204"]}],"mendeley":{"formattedCitation":"(Ingham et al. 2012)","plainTextFormattedCitation":"(Ingham et al. 2012)","previouslyFormattedCitation":"&lt;sup&gt;32&lt;/sup&gt;"},"properties":{"noteIndex":0},"schema":"https://github.com/citation-style-language/schema/raw/master/csl-citation.json"}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(Ingham et al. 2012)</w:t>
            </w:r>
            <w:r w:rsidRPr="00101744">
              <w:rPr>
                <w:rFonts w:ascii="Arial" w:eastAsia="Times New Roman" w:hAnsi="Arial" w:cs="Arial"/>
                <w:color w:val="000000"/>
                <w:sz w:val="18"/>
                <w:szCs w:val="18"/>
                <w:lang w:val="en-US" w:eastAsia="pt-PT"/>
              </w:rPr>
              <w:fldChar w:fldCharType="end"/>
            </w:r>
          </w:p>
        </w:tc>
        <w:tc>
          <w:tcPr>
            <w:tcW w:w="709" w:type="dxa"/>
            <w:noWrap/>
            <w:hideMark/>
          </w:tcPr>
          <w:p w14:paraId="1D030F4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196EA2F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517" w:type="dxa"/>
            <w:noWrap/>
            <w:hideMark/>
          </w:tcPr>
          <w:p w14:paraId="446E94B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0</w:t>
            </w:r>
          </w:p>
        </w:tc>
        <w:tc>
          <w:tcPr>
            <w:tcW w:w="767" w:type="dxa"/>
            <w:noWrap/>
            <w:hideMark/>
          </w:tcPr>
          <w:p w14:paraId="614C89D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35</w:t>
            </w:r>
          </w:p>
        </w:tc>
        <w:tc>
          <w:tcPr>
            <w:tcW w:w="695" w:type="dxa"/>
            <w:noWrap/>
            <w:hideMark/>
          </w:tcPr>
          <w:p w14:paraId="5051215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20-65</w:t>
            </w:r>
          </w:p>
        </w:tc>
        <w:tc>
          <w:tcPr>
            <w:tcW w:w="1907" w:type="dxa"/>
            <w:noWrap/>
            <w:hideMark/>
          </w:tcPr>
          <w:p w14:paraId="5379332A"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w:t>
            </w:r>
          </w:p>
        </w:tc>
        <w:tc>
          <w:tcPr>
            <w:tcW w:w="445" w:type="dxa"/>
            <w:noWrap/>
            <w:hideMark/>
          </w:tcPr>
          <w:p w14:paraId="6BACB84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32</w:t>
            </w:r>
          </w:p>
        </w:tc>
        <w:tc>
          <w:tcPr>
            <w:tcW w:w="1681" w:type="dxa"/>
            <w:noWrap/>
            <w:hideMark/>
          </w:tcPr>
          <w:p w14:paraId="5C2797AC"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1.9T </w:t>
            </w:r>
            <w:proofErr w:type="spellStart"/>
            <w:r w:rsidRPr="00101744">
              <w:rPr>
                <w:rFonts w:ascii="Arial" w:eastAsia="Times New Roman" w:hAnsi="Arial" w:cs="Arial"/>
                <w:color w:val="000000"/>
                <w:sz w:val="18"/>
                <w:szCs w:val="18"/>
                <w:lang w:val="en-US" w:eastAsia="pt-PT"/>
              </w:rPr>
              <w:t>Elscint</w:t>
            </w:r>
            <w:proofErr w:type="spellEnd"/>
            <w:r w:rsidRPr="00101744">
              <w:rPr>
                <w:rFonts w:ascii="Arial" w:eastAsia="Times New Roman" w:hAnsi="Arial" w:cs="Arial"/>
                <w:color w:val="000000"/>
                <w:sz w:val="18"/>
                <w:szCs w:val="18"/>
                <w:lang w:val="en-US" w:eastAsia="pt-PT"/>
              </w:rPr>
              <w:t xml:space="preserve"> Prestige</w:t>
            </w:r>
          </w:p>
        </w:tc>
        <w:tc>
          <w:tcPr>
            <w:tcW w:w="1547" w:type="dxa"/>
            <w:noWrap/>
            <w:hideMark/>
          </w:tcPr>
          <w:p w14:paraId="75F28DC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SPM8</w:t>
            </w:r>
          </w:p>
        </w:tc>
        <w:tc>
          <w:tcPr>
            <w:tcW w:w="1855" w:type="dxa"/>
            <w:noWrap/>
            <w:hideMark/>
          </w:tcPr>
          <w:p w14:paraId="7535110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P(FDR)&lt;0.05</w:t>
            </w:r>
          </w:p>
        </w:tc>
        <w:tc>
          <w:tcPr>
            <w:tcW w:w="717" w:type="dxa"/>
            <w:noWrap/>
            <w:hideMark/>
          </w:tcPr>
          <w:p w14:paraId="0FDA6926"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146" w:type="dxa"/>
            <w:noWrap/>
            <w:hideMark/>
          </w:tcPr>
          <w:p w14:paraId="49008E2D" w14:textId="77777777" w:rsidR="003D1F45" w:rsidRPr="00101744" w:rsidRDefault="003D1F45" w:rsidP="00B60BB2">
            <w:pPr>
              <w:jc w:val="center"/>
              <w:rPr>
                <w:rFonts w:ascii="Arial" w:eastAsia="Times New Roman" w:hAnsi="Arial" w:cs="Arial"/>
                <w:sz w:val="18"/>
                <w:szCs w:val="18"/>
                <w:lang w:val="en-US" w:eastAsia="pt-PT"/>
              </w:rPr>
            </w:pPr>
          </w:p>
        </w:tc>
      </w:tr>
      <w:tr w:rsidR="003D1F45" w:rsidRPr="00101744" w14:paraId="76E789C5" w14:textId="77777777" w:rsidTr="00B60BB2">
        <w:trPr>
          <w:trHeight w:val="300"/>
        </w:trPr>
        <w:tc>
          <w:tcPr>
            <w:tcW w:w="2269" w:type="dxa"/>
            <w:noWrap/>
            <w:vAlign w:val="center"/>
            <w:hideMark/>
          </w:tcPr>
          <w:p w14:paraId="075DC9B9" w14:textId="0E8CE60E"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{"citationItems":[{"id":"ITEM-1","itemData":{"DOI":"10.1016/j.neuroimage.2011.05.039","ISBN":"1095-9572 (Electronic)\\r1053-8119 (Linking)","ISSN":"10538119","PMID":"21624474","abstract":"External auditory pacing, such as metronome sound and speaking in unison with others, has a fluency-enhancing effect in stuttering speakers. The present study investigated the neural mechanism of the fluency-enhancing effect by using functional magnetic resonance imaging (fMRI). 12 stuttering speakers and 12 nonstuttering controls were scanned while performing metronome-timed speech, choral speech, and normal speech. Compared to nonstuttering controls, stuttering speakers showed a significantly greater increase in activation in the superior temporal gyrus under both metronome-timed and choral speech conditions relative to a normal speech condition. The caudate, globus pallidus, and putamen of the basal ganglia showed clearly different patterns of signal change from rest among the different conditions and between stuttering and nonstuttering speakers. The signal change of stuttering speakers was significantly lower than that of nonstuttering controls under the normal speech condition but was raised to the level of the controls, with no intergroup difference, in metronome-timed speech. In contrast, under the chorus condition the signal change of stuttering speakers remained lower than that of the controls. Correlation analysis further showed that the signal change of the basal ganglia and motor areas was negatively correlated with stuttering severity, but it was not significantly correlated with the stuttering rate during MRI scanning. These findings shed light on the specific neural processing of stuttering speakers when they time their speech to auditory stimuli, and provide additional evidence of the efficacy of external auditory pacing. © 2011 Elsevier Inc.","author":[{"dropping-particle":"","family":"Toyomura","given":"Akira","non-dropping-particle":"","parse-names":false,"suffix":""},{"dropping-particle":"","family":"Fujii","given":"Tetsunoshin","non-dropping-particle":"","parse-names":false,"suffix":""},{"dropping-particle":"","family":"Kuriki","given":"Shinya","non-dropping-particle":"","parse-names":false,"suffix":""}],"container-title":"NeuroImage","id":"ITEM-1","issue":"4","issued":{"date-parts":[["2011","8","15"]]},"page":"1507-1516","title":"Effect of external auditory pacing on the neural activity of stuttering speakers","type":"article-journal","volume":"57"},"uris":["http://www.mendeley.com/documents/?uuid=6b5515a2-9cbe-398d-892c-bfa50a5b86a5"]}],"mendeley":{"formattedCitation":"(Toyomura, Fujii, and Kuriki 2011)","plainTextFormattedCitation":"(Toyomura, Fujii, and Kuriki 2011)","previouslyFormattedCitation":"&lt;sup&gt;33&lt;/sup&gt;"},"properties":{"noteIndex":0},"schema":"https://github.com/citation-style-language/schema/raw/master/csl-citation.json"}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(Toyomura, Fujii, and Kuriki 2011)</w:t>
            </w:r>
            <w:r w:rsidRPr="00101744">
              <w:rPr>
                <w:rFonts w:ascii="Arial" w:eastAsia="Times New Roman" w:hAnsi="Arial" w:cs="Arial"/>
                <w:color w:val="000000"/>
                <w:sz w:val="18"/>
                <w:szCs w:val="18"/>
                <w:lang w:val="en-US" w:eastAsia="pt-PT"/>
              </w:rPr>
              <w:fldChar w:fldCharType="end"/>
            </w:r>
          </w:p>
        </w:tc>
        <w:tc>
          <w:tcPr>
            <w:tcW w:w="709" w:type="dxa"/>
            <w:noWrap/>
            <w:hideMark/>
          </w:tcPr>
          <w:p w14:paraId="3410798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7713EAA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11</w:t>
            </w:r>
          </w:p>
        </w:tc>
        <w:tc>
          <w:tcPr>
            <w:tcW w:w="517" w:type="dxa"/>
            <w:noWrap/>
            <w:hideMark/>
          </w:tcPr>
          <w:p w14:paraId="521E70C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w:t>
            </w:r>
          </w:p>
        </w:tc>
        <w:tc>
          <w:tcPr>
            <w:tcW w:w="767" w:type="dxa"/>
            <w:noWrap/>
            <w:hideMark/>
          </w:tcPr>
          <w:p w14:paraId="74DA117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27</w:t>
            </w:r>
          </w:p>
        </w:tc>
        <w:tc>
          <w:tcPr>
            <w:tcW w:w="695" w:type="dxa"/>
            <w:noWrap/>
            <w:hideMark/>
          </w:tcPr>
          <w:p w14:paraId="6CDC9D0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22-44</w:t>
            </w:r>
          </w:p>
        </w:tc>
        <w:tc>
          <w:tcPr>
            <w:tcW w:w="1907" w:type="dxa"/>
            <w:noWrap/>
            <w:hideMark/>
          </w:tcPr>
          <w:p w14:paraId="6681FD1F"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(overt)</w:t>
            </w:r>
          </w:p>
        </w:tc>
        <w:tc>
          <w:tcPr>
            <w:tcW w:w="445" w:type="dxa"/>
            <w:noWrap/>
            <w:hideMark/>
          </w:tcPr>
          <w:p w14:paraId="23D882C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1681" w:type="dxa"/>
            <w:noWrap/>
            <w:hideMark/>
          </w:tcPr>
          <w:p w14:paraId="441DD114"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1.5T </w:t>
            </w:r>
            <w:proofErr w:type="spellStart"/>
            <w:r w:rsidRPr="00101744">
              <w:rPr>
                <w:rFonts w:ascii="Arial" w:eastAsia="Times New Roman" w:hAnsi="Arial" w:cs="Arial"/>
                <w:color w:val="000000"/>
                <w:sz w:val="18"/>
                <w:szCs w:val="18"/>
                <w:lang w:val="en-US" w:eastAsia="pt-PT"/>
              </w:rPr>
              <w:t>Signa</w:t>
            </w:r>
            <w:proofErr w:type="spellEnd"/>
            <w:r w:rsidRPr="00101744">
              <w:rPr>
                <w:rFonts w:ascii="Arial" w:eastAsia="Times New Roman" w:hAnsi="Arial" w:cs="Arial"/>
                <w:color w:val="000000"/>
                <w:sz w:val="18"/>
                <w:szCs w:val="18"/>
                <w:lang w:val="en-US" w:eastAsia="pt-PT"/>
              </w:rPr>
              <w:t xml:space="preserve"> GE</w:t>
            </w:r>
          </w:p>
        </w:tc>
        <w:tc>
          <w:tcPr>
            <w:tcW w:w="1547" w:type="dxa"/>
            <w:noWrap/>
            <w:hideMark/>
          </w:tcPr>
          <w:p w14:paraId="46EABC5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SPM8</w:t>
            </w:r>
          </w:p>
        </w:tc>
        <w:tc>
          <w:tcPr>
            <w:tcW w:w="1855" w:type="dxa"/>
            <w:noWrap/>
            <w:hideMark/>
          </w:tcPr>
          <w:p w14:paraId="36491C4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P(FWE)&lt;0.05</w:t>
            </w:r>
          </w:p>
        </w:tc>
        <w:tc>
          <w:tcPr>
            <w:tcW w:w="717" w:type="dxa"/>
            <w:noWrap/>
            <w:hideMark/>
          </w:tcPr>
          <w:p w14:paraId="2DCF414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3000</w:t>
            </w:r>
          </w:p>
        </w:tc>
        <w:tc>
          <w:tcPr>
            <w:tcW w:w="1146" w:type="dxa"/>
            <w:noWrap/>
            <w:hideMark/>
          </w:tcPr>
          <w:p w14:paraId="030877C6" w14:textId="77777777" w:rsidR="003D1F45" w:rsidRPr="00101744" w:rsidRDefault="003D1F45" w:rsidP="00B60BB2">
            <w:pPr>
              <w:jc w:val="center"/>
              <w:rPr>
                <w:rFonts w:ascii="Arial" w:eastAsia="Times New Roman" w:hAnsi="Arial" w:cs="Arial"/>
                <w:color w:val="000000"/>
                <w:sz w:val="18"/>
                <w:szCs w:val="18"/>
                <w:lang w:val="en-US" w:eastAsia="pt-PT"/>
              </w:rPr>
            </w:pPr>
          </w:p>
        </w:tc>
      </w:tr>
      <w:tr w:rsidR="003D1F45" w:rsidRPr="00101744" w14:paraId="39EFEFBF" w14:textId="77777777" w:rsidTr="00B60BB2">
        <w:trPr>
          <w:trHeight w:val="300"/>
        </w:trPr>
        <w:tc>
          <w:tcPr>
            <w:tcW w:w="2269" w:type="dxa"/>
            <w:noWrap/>
            <w:vAlign w:val="center"/>
            <w:hideMark/>
          </w:tcPr>
          <w:p w14:paraId="2B9D362B" w14:textId="3B64BA88" w:rsidR="003D1F45" w:rsidRPr="00101744" w:rsidRDefault="003D1F45" w:rsidP="00C14016">
            <w:pPr>
              <w:rPr>
                <w:rFonts w:ascii="Arial" w:eastAsia="Times New Roman" w:hAnsi="Arial" w:cs="Arial"/>
                <w:b/>
                <w:bCs/>
                <w:sz w:val="18"/>
                <w:szCs w:val="18"/>
                <w:lang w:val="en-US" w:eastAsia="pt-PT"/>
              </w:rPr>
            </w:pPr>
            <w:r w:rsidRPr="00101744">
              <w:rPr>
                <w:rFonts w:ascii="Arial" w:eastAsia="Times New Roman" w:hAnsi="Arial" w:cs="Arial"/>
                <w:sz w:val="18"/>
                <w:szCs w:val="18"/>
                <w:lang w:val="en-US" w:eastAsia="pt-PT"/>
              </w:rPr>
              <w:fldChar w:fldCharType="begin" w:fldLock="1"/>
            </w:r>
            <w:r w:rsidR="00C14016">
              <w:rPr>
                <w:rFonts w:ascii="Arial" w:hAnsi="Arial" w:cs="Arial"/>
                <w:sz w:val="18"/>
                <w:szCs w:val="18"/>
                <w:lang w:eastAsia="pt-PT"/>
              </w:rPr>
              <w:instrText>ADDIN CSL_CITATION {"citationItems":[{"id":"ITEM-1","itemData":{"DOI":"10.1016/j.cub.2006.07.060","ISSN":"09609822","PMID":"16979559","abstract":"The thesis of embodied semantics holds that conceptual representations accessed during linguistic processing are, in part, equivalent to the sensory-motor representations required for the enactment of the concepts described . Here, using fMRI, we tested the hypothesis that areas in human premotor cortex that respond both to the execution and observation of actions-mirror neuron areas -are key neural structures in these processes. Participants observed actions and read phrases relating to foot, hand, or mouth actions. In the premotor cortex of the left hemisphere, a clear congruence was found between effector-specific activations of visually presented actions and of actions described by literal phrases. These results suggest a key role of mirror neuron areas in the re-enactment of sensory-motor representations during conceptual processing of actions invoked by linguistic stimuli.","author":[{"dropping-particle":"","family":"Aziz-Zadeh","given":"Lisa","non-dropping-particle":"","parse-names":false,"suffix":""},{"dropping-particle":"","family":"Wilson","given":"Stephen M.","non-dropping-particle":"","parse-names":false,"suffix":""},{"dropping-particle":"","family":"Rizzolatti","given":"Giacomo","non-dropping-particle":"","parse-names":false,"suffix":""},{"dropping-particle":"","family":"Iacoboni","given":"Marco","non-dropping-particle":"","parse-names":false,"suffix":""}],"container-title":"Current Biology","id":"ITEM-1","issue":"18","issued":{"date-parts":[["2006","9","19"]]},"page":"1818-1823","title":"Congruent Embodied Representations for Visually Presented Actions and Linguistic Phrases Describing Actions","type":"article-journal","volume":"16"},"uris":["http://www.mendeley.com/documents/?uuid=9f1e10ad-7523-3e5b-ab0e-b5b8a6be80ce"]}],"mendeley":{"formattedCitation":"(Aziz-Zadeh et al. 2006)","plainTextFormattedCitation":"(Aziz-Zadeh et al. 2006)","previouslyFormattedCitation":"&lt;sup&gt;34&lt;/sup&gt;"},"properties":{"noteIndex":0},"schema":"https://github.com/citation-style-language/schema/raw/master/csl-citation.json"}</w:instrText>
            </w:r>
            <w:r w:rsidRPr="00101744">
              <w:rPr>
                <w:rFonts w:ascii="Arial" w:eastAsia="Times New Roman" w:hAnsi="Arial" w:cs="Arial"/>
                <w:sz w:val="18"/>
                <w:szCs w:val="18"/>
                <w:lang w:val="en-US" w:eastAsia="pt-PT"/>
              </w:rPr>
              <w:fldChar w:fldCharType="separate"/>
            </w:r>
            <w:r w:rsidR="00C14016" w:rsidRPr="00C14016">
              <w:rPr>
                <w:rFonts w:ascii="Arial" w:hAnsi="Arial" w:cs="Arial"/>
                <w:noProof/>
                <w:sz w:val="18"/>
                <w:szCs w:val="18"/>
                <w:lang w:eastAsia="pt-PT"/>
              </w:rPr>
              <w:t>(Aziz-Zadeh et al. 2006)</w:t>
            </w:r>
            <w:r w:rsidRPr="00101744">
              <w:rPr>
                <w:rFonts w:ascii="Arial" w:eastAsia="Times New Roman" w:hAnsi="Arial" w:cs="Arial"/>
                <w:sz w:val="18"/>
                <w:szCs w:val="18"/>
                <w:lang w:val="en-US" w:eastAsia="pt-PT"/>
              </w:rPr>
              <w:fldChar w:fldCharType="end"/>
            </w:r>
          </w:p>
        </w:tc>
        <w:tc>
          <w:tcPr>
            <w:tcW w:w="709" w:type="dxa"/>
            <w:noWrap/>
            <w:hideMark/>
          </w:tcPr>
          <w:p w14:paraId="4933D3E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64544AC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c>
          <w:tcPr>
            <w:tcW w:w="517" w:type="dxa"/>
            <w:noWrap/>
            <w:hideMark/>
          </w:tcPr>
          <w:p w14:paraId="10C5D80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767" w:type="dxa"/>
            <w:noWrap/>
            <w:hideMark/>
          </w:tcPr>
          <w:p w14:paraId="10FCC08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24</w:t>
            </w:r>
          </w:p>
        </w:tc>
        <w:tc>
          <w:tcPr>
            <w:tcW w:w="695" w:type="dxa"/>
            <w:noWrap/>
            <w:hideMark/>
          </w:tcPr>
          <w:p w14:paraId="4B7217C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20-37</w:t>
            </w:r>
          </w:p>
        </w:tc>
        <w:tc>
          <w:tcPr>
            <w:tcW w:w="1907" w:type="dxa"/>
            <w:noWrap/>
            <w:hideMark/>
          </w:tcPr>
          <w:p w14:paraId="73067A30"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w:t>
            </w:r>
          </w:p>
        </w:tc>
        <w:tc>
          <w:tcPr>
            <w:tcW w:w="445" w:type="dxa"/>
            <w:noWrap/>
            <w:hideMark/>
          </w:tcPr>
          <w:p w14:paraId="5A8A884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7</w:t>
            </w:r>
          </w:p>
        </w:tc>
        <w:tc>
          <w:tcPr>
            <w:tcW w:w="1681" w:type="dxa"/>
            <w:noWrap/>
            <w:hideMark/>
          </w:tcPr>
          <w:p w14:paraId="0F9B344F"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3T Allegra Siemens</w:t>
            </w:r>
          </w:p>
        </w:tc>
        <w:tc>
          <w:tcPr>
            <w:tcW w:w="1547" w:type="dxa"/>
            <w:noWrap/>
            <w:hideMark/>
          </w:tcPr>
          <w:p w14:paraId="503281B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FMRISTAT</w:t>
            </w:r>
          </w:p>
        </w:tc>
        <w:tc>
          <w:tcPr>
            <w:tcW w:w="1855" w:type="dxa"/>
            <w:noWrap/>
            <w:hideMark/>
          </w:tcPr>
          <w:p w14:paraId="3CA7C444"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&lt;0.005</w:t>
            </w:r>
          </w:p>
        </w:tc>
        <w:tc>
          <w:tcPr>
            <w:tcW w:w="717" w:type="dxa"/>
            <w:noWrap/>
            <w:hideMark/>
          </w:tcPr>
          <w:p w14:paraId="0B213CA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6" w:type="dxa"/>
            <w:noWrap/>
            <w:hideMark/>
          </w:tcPr>
          <w:p w14:paraId="15214F6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r>
      <w:tr w:rsidR="003D1F45" w:rsidRPr="00101744" w14:paraId="07FC7650" w14:textId="77777777" w:rsidTr="00B60BB2">
        <w:trPr>
          <w:trHeight w:val="300"/>
        </w:trPr>
        <w:tc>
          <w:tcPr>
            <w:tcW w:w="2269" w:type="dxa"/>
            <w:noWrap/>
            <w:vAlign w:val="center"/>
            <w:hideMark/>
          </w:tcPr>
          <w:p w14:paraId="44CD373F" w14:textId="787F8F64"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{"citationItems":[{"id":"ITEM-1","itemData":{"DOI":"10.1016/j.neuroimage.2005.03.038","ISSN":"10538119","PMID":"15919215","abstract":"While limbic activity is known to be associated with successful encoding of emotional information, it is less clear whether it is related to successful retrieval. The present fMRI study assessed the effects of emotion on the neural processes engaged during retrieval of accurate compared to distorted memories. Prior to the scan, participants (16 young adults) viewed names of neutral (e.g., frog) and emotional (e.g., snake) objects and formed a mental image of the object named. They were shown photos of half of the objects. During the fMRI scan, participants saw object names and indicated whether or not they had seen the corresponding photo. Memory distortions (misattributions) occurred when participants incorrectly indicated whether or not a photo had been studied. Activity in some regions (e.g., L anterior hippocampus) was related to accurate retrieval (correct attributions &gt; misattributions) for emotional and neutral items. However, activity in other regions corresponded with accurate retrieval specifically for emotional items (e.g., in R amygdala/periamygdaloid cortex and L orbitofrontal cortex) or for neutral items (e.g., in lateral inferior prefrontal cortex and R posterior hippocampus). Results indicate that emotional salience modulates the processes engaged during accurate retrieval and that activity in limbic regions corresponds with accurate memory assignment for emotional items. To our knowledge, this study is the first to demonstrate a link between limbic engagement at retrieval and accurate memory attribution.","author":[{"dropping-particle":"","family":"Kensinger","given":"Elizabeth A.","non-dropping-particle":"","parse-names":false,"suffix":""},{"dropping-particle":"","family":"Schacter","given":"Daniel L.","non-dropping-particle":"","parse-names":false,"suffix":""}],"container-title":"NeuroImage","id":"ITEM-1","issue":"1","issued":{"date-parts":[["2005","8","1"]]},"page":"167-177","title":"Retrieving accurate and distorted memories: Neuroimaging evidence for effects of emotion","type":"article-journal","volume":"27"},"uris":["http://www.mendeley.com/documents/?uuid=399a2e36-af01-308f-9c93-0c7a7d84980e"]}],"mendeley":{"formattedCitation":"(Elizabeth A. Kensinger and Schacter 2005)","plainTextFormattedCitation":"(Elizabeth A. Kensinger and Schacter 2005)","previouslyFormattedCitation":"&lt;sup&gt;35&lt;/sup&gt;"},"properties":{"noteIndex":0},"schema":"https://github.com/citation-style-language/schema/raw/master/csl-citation.json"}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(Elizabeth A. Kensinger and Schacter 2005)</w:t>
            </w:r>
            <w:r w:rsidRPr="00101744">
              <w:rPr>
                <w:rFonts w:ascii="Arial" w:eastAsia="Times New Roman" w:hAnsi="Arial" w:cs="Arial"/>
                <w:color w:val="000000"/>
                <w:sz w:val="18"/>
                <w:szCs w:val="18"/>
                <w:lang w:val="en-US" w:eastAsia="pt-PT"/>
              </w:rPr>
              <w:fldChar w:fldCharType="end"/>
            </w:r>
          </w:p>
        </w:tc>
        <w:tc>
          <w:tcPr>
            <w:tcW w:w="709" w:type="dxa"/>
            <w:noWrap/>
            <w:hideMark/>
          </w:tcPr>
          <w:p w14:paraId="0FCD42F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16</w:t>
            </w:r>
          </w:p>
        </w:tc>
        <w:tc>
          <w:tcPr>
            <w:tcW w:w="650" w:type="dxa"/>
            <w:noWrap/>
            <w:hideMark/>
          </w:tcPr>
          <w:p w14:paraId="508E670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517" w:type="dxa"/>
            <w:noWrap/>
            <w:hideMark/>
          </w:tcPr>
          <w:p w14:paraId="02134FF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767" w:type="dxa"/>
            <w:noWrap/>
            <w:hideMark/>
          </w:tcPr>
          <w:p w14:paraId="39EF50BB"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95" w:type="dxa"/>
            <w:noWrap/>
            <w:hideMark/>
          </w:tcPr>
          <w:p w14:paraId="2CF8F0E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18-30</w:t>
            </w:r>
          </w:p>
        </w:tc>
        <w:tc>
          <w:tcPr>
            <w:tcW w:w="1907" w:type="dxa"/>
            <w:noWrap/>
            <w:hideMark/>
          </w:tcPr>
          <w:p w14:paraId="653E85AA"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and recall</w:t>
            </w:r>
          </w:p>
        </w:tc>
        <w:tc>
          <w:tcPr>
            <w:tcW w:w="445" w:type="dxa"/>
            <w:noWrap/>
            <w:hideMark/>
          </w:tcPr>
          <w:p w14:paraId="2A9AA9F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31</w:t>
            </w:r>
          </w:p>
        </w:tc>
        <w:tc>
          <w:tcPr>
            <w:tcW w:w="1681" w:type="dxa"/>
            <w:noWrap/>
            <w:hideMark/>
          </w:tcPr>
          <w:p w14:paraId="0A7849F2"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1.5T Sonata Siemens</w:t>
            </w:r>
          </w:p>
        </w:tc>
        <w:tc>
          <w:tcPr>
            <w:tcW w:w="1547" w:type="dxa"/>
            <w:noWrap/>
            <w:hideMark/>
          </w:tcPr>
          <w:p w14:paraId="43B9862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3F5B8930"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35AAD12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3000</w:t>
            </w:r>
          </w:p>
        </w:tc>
        <w:tc>
          <w:tcPr>
            <w:tcW w:w="1146" w:type="dxa"/>
            <w:noWrap/>
            <w:hideMark/>
          </w:tcPr>
          <w:p w14:paraId="752783E9" w14:textId="77777777" w:rsidR="003D1F45" w:rsidRPr="00101744" w:rsidRDefault="003D1F45" w:rsidP="00B60BB2">
            <w:pPr>
              <w:jc w:val="center"/>
              <w:rPr>
                <w:rFonts w:ascii="Arial" w:eastAsia="Times New Roman" w:hAnsi="Arial" w:cs="Arial"/>
                <w:color w:val="000000"/>
                <w:sz w:val="18"/>
                <w:szCs w:val="18"/>
                <w:lang w:val="en-US" w:eastAsia="pt-PT"/>
              </w:rPr>
            </w:pPr>
          </w:p>
        </w:tc>
      </w:tr>
      <w:tr w:rsidR="003D1F45" w:rsidRPr="00101744" w14:paraId="4441D4C9" w14:textId="77777777" w:rsidTr="00B60BB2">
        <w:trPr>
          <w:trHeight w:val="300"/>
        </w:trPr>
        <w:tc>
          <w:tcPr>
            <w:tcW w:w="2269" w:type="dxa"/>
            <w:noWrap/>
            <w:vAlign w:val="center"/>
            <w:hideMark/>
          </w:tcPr>
          <w:p w14:paraId="7B53877E" w14:textId="2DA3F2B8"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{"citationItems":[{"id":"ITEM-1","itemData":{"DOI":"10.1073/pnas.0306408101","ISSN":"0027-8424","PMID":"14981255","abstract":"Prior investigations have demonstrated that emotional information is often better remembered than neutral information, but they have not directly contrasted effects attributable to valence and those attributable to arousal. By using functional MRI and behavioral studies, we found that distinct cognitive and neural processes contribute to emotional memory enhancement for arousing information versus valenced, nonarousing information. The former depended on an amygdalar-hippocampal network, whereas the latter was supported by a prefrontal cortex-hippocampal network implicated in controlled encoding processes. A behavioral companion study, with a divided-attention paradigm, confirmed that memory enhancement for valenced, nonarousing words relied on controlled encoding processes: concurrent task performance reduced the enhancement effect. Enhancement for arousing words occurred automatically, even when encoding resources were diverted to the secondary task.","author":[{"dropping-particle":"","family":"Kensinger","given":"E. A.","non-dropping-particle":"","parse-names":false,"suffix":""},{"dropping-particle":"","family":"Corkin","given":"S.","non-dropping-particle":"","parse-names":false,"suffix":""}],"container-title":"Proceedings of the National Academy of Sciences","id":"ITEM-1","issue":"9","issued":{"date-parts":[["2004","3","2"]]},"page":"3310-3315","title":"Two routes to emotional memory: Distinct neural processes for valence and arousal","type":"article-journal","volume":"101"},"uris":["http://www.mendeley.com/documents/?uuid=2a0f6627-e445-3584-a280-ad01ecbac5ee"]}],"mendeley":{"formattedCitation":"(E. A. Kensinger and Corkin 2004)","plainTextFormattedCitation":"(E. A. Kensinger and Corkin 2004)","previouslyFormattedCitation":"&lt;sup&gt;36&lt;/sup&gt;"},"properties":{"noteIndex":0},"schema":"https://github.com/citation-style-language/schema/raw/master/csl-citation.json"}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(E. A. Kensinger and Corkin 2004)</w:t>
            </w:r>
            <w:r w:rsidRPr="00101744">
              <w:rPr>
                <w:rFonts w:ascii="Arial" w:eastAsia="Times New Roman" w:hAnsi="Arial" w:cs="Arial"/>
                <w:color w:val="000000"/>
                <w:sz w:val="18"/>
                <w:szCs w:val="18"/>
                <w:lang w:val="en-US" w:eastAsia="pt-PT"/>
              </w:rPr>
              <w:fldChar w:fldCharType="end"/>
            </w:r>
          </w:p>
        </w:tc>
        <w:tc>
          <w:tcPr>
            <w:tcW w:w="709" w:type="dxa"/>
            <w:noWrap/>
            <w:hideMark/>
          </w:tcPr>
          <w:p w14:paraId="4E81E1F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28</w:t>
            </w:r>
          </w:p>
        </w:tc>
        <w:tc>
          <w:tcPr>
            <w:tcW w:w="650" w:type="dxa"/>
            <w:noWrap/>
            <w:hideMark/>
          </w:tcPr>
          <w:p w14:paraId="67C6778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14</w:t>
            </w:r>
          </w:p>
        </w:tc>
        <w:tc>
          <w:tcPr>
            <w:tcW w:w="517" w:type="dxa"/>
            <w:noWrap/>
            <w:hideMark/>
          </w:tcPr>
          <w:p w14:paraId="43E3613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14</w:t>
            </w:r>
          </w:p>
        </w:tc>
        <w:tc>
          <w:tcPr>
            <w:tcW w:w="767" w:type="dxa"/>
            <w:noWrap/>
            <w:hideMark/>
          </w:tcPr>
          <w:p w14:paraId="05161EAE"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95" w:type="dxa"/>
            <w:noWrap/>
            <w:hideMark/>
          </w:tcPr>
          <w:p w14:paraId="3CA3B18F" w14:textId="77777777" w:rsidR="003D1F45" w:rsidRPr="00101744" w:rsidRDefault="003D1F45" w:rsidP="00B60BB2">
            <w:pPr>
              <w:jc w:val="center"/>
              <w:rPr>
                <w:rFonts w:ascii="Arial" w:eastAsia="Times New Roman" w:hAnsi="Arial" w:cs="Arial"/>
                <w:sz w:val="18"/>
                <w:szCs w:val="18"/>
                <w:lang w:val="en-US" w:eastAsia="pt-PT"/>
              </w:rPr>
            </w:pPr>
          </w:p>
        </w:tc>
        <w:tc>
          <w:tcPr>
            <w:tcW w:w="1907" w:type="dxa"/>
            <w:noWrap/>
            <w:hideMark/>
          </w:tcPr>
          <w:p w14:paraId="6EDF8533"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and encoding</w:t>
            </w:r>
          </w:p>
        </w:tc>
        <w:tc>
          <w:tcPr>
            <w:tcW w:w="445" w:type="dxa"/>
            <w:noWrap/>
            <w:hideMark/>
          </w:tcPr>
          <w:p w14:paraId="1005F5F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21</w:t>
            </w:r>
          </w:p>
        </w:tc>
        <w:tc>
          <w:tcPr>
            <w:tcW w:w="1681" w:type="dxa"/>
            <w:noWrap/>
            <w:hideMark/>
          </w:tcPr>
          <w:p w14:paraId="4FB9785E"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3T Allegra Siemens</w:t>
            </w:r>
          </w:p>
        </w:tc>
        <w:tc>
          <w:tcPr>
            <w:tcW w:w="1547" w:type="dxa"/>
            <w:noWrap/>
            <w:hideMark/>
          </w:tcPr>
          <w:p w14:paraId="194B891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01D7E4A5"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526B4FE1"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146" w:type="dxa"/>
            <w:noWrap/>
            <w:hideMark/>
          </w:tcPr>
          <w:p w14:paraId="79E43E95" w14:textId="77777777" w:rsidR="003D1F45" w:rsidRPr="00101744" w:rsidRDefault="003D1F45" w:rsidP="00B60BB2">
            <w:pPr>
              <w:jc w:val="center"/>
              <w:rPr>
                <w:rFonts w:ascii="Arial" w:eastAsia="Times New Roman" w:hAnsi="Arial" w:cs="Arial"/>
                <w:sz w:val="18"/>
                <w:szCs w:val="18"/>
                <w:lang w:val="en-US" w:eastAsia="pt-PT"/>
              </w:rPr>
            </w:pPr>
          </w:p>
        </w:tc>
      </w:tr>
      <w:tr w:rsidR="003D1F45" w:rsidRPr="00101744" w14:paraId="72A29FBC" w14:textId="77777777" w:rsidTr="00B60BB2">
        <w:trPr>
          <w:trHeight w:val="300"/>
        </w:trPr>
        <w:tc>
          <w:tcPr>
            <w:tcW w:w="2269" w:type="dxa"/>
            <w:noWrap/>
            <w:vAlign w:val="center"/>
            <w:hideMark/>
          </w:tcPr>
          <w:p w14:paraId="2C8D0A33" w14:textId="1E520A2C"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{"citationItems":[{"id":"ITEM-1","itemData":{"DOI":"10.1016/j.neuroimage.2007.05.048","ISSN":"10538119","PMID":"17611124","abstract":"In an event-related fMRI study, we examined the cortical networks involved in establishing reference during language comprehension. We compared BOLD responses to sentences containing referentially ambiguous pronouns (e.g., \"Ronald told Frank that he...\"), referentially failing pronouns (e.g., \"Rose told Emily that he...\") or coherent pronouns. Referential ambiguity selectively recruited medial prefrontal regions, suggesting that readers engaged in problem-solving to select a unique referent from the discourse model. Referential failure elicited activation increases in brain regions associated with morpho-syntactic processing, and, for those readers who took failing pronouns to refer to unmentioned entities, additional regions associated with elaborative inferencing were observed. The networks activated by these two referential problems did not overlap with the network activated by a standard semantic anomaly. Instead, we observed a double dissociation, in that the systems activated by semantic anomaly are deactivated by referential ambiguity, and vice versa. This inverse coupling may reflect the dynamic recruitment of semantic and episodic processing to resolve semantically or referentially problematic situations. More generally, our findings suggest that neurocognitive accounts of language comprehension need to address not just how we parse a sentence and combine individual word meanings, but also how we determine who's who and what's what during language comprehension.","author":[{"dropping-particle":"","family":"Nieuwland","given":"Mante S.","non-dropping-particle":"","parse-names":false,"suffix":""},{"dropping-particle":"","family":"Petersson","given":"Karl Magnus","non-dropping-particle":"","parse-names":false,"suffix":""},{"dropping-particle":"","family":"Berkum","given":"Jos J.A.","non-dropping-particle":"Van","parse-names":false,"suffix":""}],"container-title":"NeuroImage","id":"ITEM-1","issue":"3","issued":{"date-parts":[["2007","9","1"]]},"page":"993-1004","title":"On sense and reference: Examining the functional neuroanatomy of referential processing","type":"article-journal","volume":"37"},"uris":["http://www.mendeley.com/documents/?uuid=11893e46-0343-3453-806d-eab608b28c2d"]}],"mendeley":{"formattedCitation":"(Nieuwland, Petersson, and Van Berkum 2007)","plainTextFormattedCitation":"(Nieuwland, Petersson, and Van Berkum 2007)","previouslyFormattedCitation":"&lt;sup&gt;37&lt;/sup&gt;"},"properties":{"noteIndex":0},"schema":"https://github.com/citation-style-language/schema/raw/master/csl-citation.json"}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(Nieuwland, Petersson, and Van Berkum 2007)</w:t>
            </w:r>
            <w:r w:rsidRPr="00101744">
              <w:rPr>
                <w:rFonts w:ascii="Arial" w:eastAsia="Times New Roman" w:hAnsi="Arial" w:cs="Arial"/>
                <w:color w:val="000000"/>
                <w:sz w:val="18"/>
                <w:szCs w:val="18"/>
                <w:lang w:val="en-US" w:eastAsia="pt-PT"/>
              </w:rPr>
              <w:fldChar w:fldCharType="end"/>
            </w:r>
          </w:p>
        </w:tc>
        <w:tc>
          <w:tcPr>
            <w:tcW w:w="709" w:type="dxa"/>
            <w:noWrap/>
            <w:hideMark/>
          </w:tcPr>
          <w:p w14:paraId="39CCFE9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22</w:t>
            </w:r>
          </w:p>
        </w:tc>
        <w:tc>
          <w:tcPr>
            <w:tcW w:w="650" w:type="dxa"/>
            <w:noWrap/>
            <w:hideMark/>
          </w:tcPr>
          <w:p w14:paraId="084F222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c>
          <w:tcPr>
            <w:tcW w:w="517" w:type="dxa"/>
            <w:noWrap/>
            <w:hideMark/>
          </w:tcPr>
          <w:p w14:paraId="5EDDCFF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18</w:t>
            </w:r>
          </w:p>
        </w:tc>
        <w:tc>
          <w:tcPr>
            <w:tcW w:w="767" w:type="dxa"/>
            <w:noWrap/>
            <w:hideMark/>
          </w:tcPr>
          <w:p w14:paraId="7E8101F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21</w:t>
            </w:r>
          </w:p>
        </w:tc>
        <w:tc>
          <w:tcPr>
            <w:tcW w:w="695" w:type="dxa"/>
            <w:noWrap/>
            <w:hideMark/>
          </w:tcPr>
          <w:p w14:paraId="36362206"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907" w:type="dxa"/>
            <w:noWrap/>
            <w:hideMark/>
          </w:tcPr>
          <w:p w14:paraId="55C41539"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Sentences</w:t>
            </w:r>
          </w:p>
        </w:tc>
        <w:tc>
          <w:tcPr>
            <w:tcW w:w="445" w:type="dxa"/>
            <w:noWrap/>
            <w:hideMark/>
          </w:tcPr>
          <w:p w14:paraId="5E6F0BC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40</w:t>
            </w:r>
          </w:p>
        </w:tc>
        <w:tc>
          <w:tcPr>
            <w:tcW w:w="1681" w:type="dxa"/>
            <w:noWrap/>
            <w:hideMark/>
          </w:tcPr>
          <w:p w14:paraId="652332CC"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3T Philips</w:t>
            </w:r>
          </w:p>
        </w:tc>
        <w:tc>
          <w:tcPr>
            <w:tcW w:w="1547" w:type="dxa"/>
            <w:noWrap/>
            <w:hideMark/>
          </w:tcPr>
          <w:p w14:paraId="126098B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SPM5</w:t>
            </w:r>
          </w:p>
        </w:tc>
        <w:tc>
          <w:tcPr>
            <w:tcW w:w="1855" w:type="dxa"/>
            <w:noWrap/>
            <w:hideMark/>
          </w:tcPr>
          <w:p w14:paraId="1ECFB82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P(FDR)&lt;0.05</w:t>
            </w:r>
          </w:p>
        </w:tc>
        <w:tc>
          <w:tcPr>
            <w:tcW w:w="717" w:type="dxa"/>
            <w:noWrap/>
            <w:hideMark/>
          </w:tcPr>
          <w:p w14:paraId="21D8FDA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1960</w:t>
            </w:r>
          </w:p>
        </w:tc>
        <w:tc>
          <w:tcPr>
            <w:tcW w:w="1146" w:type="dxa"/>
            <w:noWrap/>
            <w:hideMark/>
          </w:tcPr>
          <w:p w14:paraId="1C8698D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r>
      <w:tr w:rsidR="003D1F45" w:rsidRPr="00101744" w14:paraId="7149CA0D" w14:textId="77777777" w:rsidTr="00B60BB2">
        <w:trPr>
          <w:trHeight w:val="300"/>
        </w:trPr>
        <w:tc>
          <w:tcPr>
            <w:tcW w:w="2269" w:type="dxa"/>
            <w:noWrap/>
            <w:vAlign w:val="center"/>
            <w:hideMark/>
          </w:tcPr>
          <w:p w14:paraId="63D6E682" w14:textId="0FB165F9" w:rsidR="003D1F45" w:rsidRPr="00101744" w:rsidRDefault="003D1F45" w:rsidP="00C14016">
            <w:pPr>
              <w:rPr>
                <w:rFonts w:ascii="Arial" w:eastAsia="Times New Roman" w:hAnsi="Arial" w:cs="Arial"/>
                <w:b/>
                <w:bCs/>
                <w:sz w:val="18"/>
                <w:szCs w:val="18"/>
                <w:lang w:val="en-US" w:eastAsia="pt-PT"/>
              </w:rPr>
            </w:pPr>
            <w:r w:rsidRPr="00101744">
              <w:rPr>
                <w:rFonts w:ascii="Arial" w:eastAsia="Times New Roman" w:hAnsi="Arial" w:cs="Arial"/>
                <w:sz w:val="18"/>
                <w:szCs w:val="18"/>
                <w:lang w:val="en-US" w:eastAsia="pt-PT"/>
              </w:rPr>
              <w:fldChar w:fldCharType="begin" w:fldLock="1"/>
            </w:r>
            <w:r w:rsidR="00C14016">
              <w:rPr>
                <w:rFonts w:ascii="Arial" w:hAnsi="Arial" w:cs="Arial"/>
                <w:sz w:val="18"/>
                <w:szCs w:val="18"/>
                <w:lang w:eastAsia="pt-PT"/>
              </w:rPr>
              <w:instrText>ADDIN CSL_CITATION {"citationItems":[{"id":"ITEM-1","itemData":{"DOI":"10.1093/cercor/bhr238","ISSN":"1460-2199","PMID":"21914634","abstract":"Sensorimotor areas activate to action- and object-related words, but their role in abstract meaning processing is still debated. Abstract emotion words denoting body internal states are a critical test case because they lack referential links to objects. If actions expressing emotion are crucial for learning correspondences between word forms and emotions, emotion word-evoked activity should emerge in motor brain systems controlling the face and arms, which typically express emotions. To test this hypothesis, we recruited 18 native speakers and used event-related functional magnetic resonance imaging to compare brain activation evoked by abstract emotion words to that by face- and arm-related action words. In addition to limbic regions, emotion words indeed sparked precentral cortex, including body-part-specific areas activated somatotopically by face words or arm words. Control items, including hash mark strings and animal words, failed to activate precentral areas. We conclude that, similar to their role in action word processing, activation of frontocentral motor systems in the dorsal stream reflects the semantic binding of sign and meaning of abstract words denoting emotions and possibly other body internal states.","author":[{"dropping-particle":"","family":"Moseley","given":"Rachel","non-dropping-particle":"","parse-names":false,"suffix":""},{"dropping-particle":"","family":"Carota","given":"Francesca","non-dropping-particle":"","parse-names":false,"suffix":""},{"dropping-particle":"","family":"Hauk","given":"Olaf","non-dropping-particle":"","parse-names":false,"suffix":""},{"dropping-particle":"","family":"Mohr","given":"Bettina","non-dropping-particle":"","parse-names":false,"suffix":""},{"dropping-particle":"","family":"Pulvermüller","given":"Friedemann","non-dropping-particle":"","parse-names":false,"suffix":""}],"container-title":"Cerebral Cortex","id":"ITEM-1","issue":"7","issued":{"date-parts":[["2012","7"]]},"page":"1634-1647","title":"A Role for the Motor System in Binding Abstract Emotional Meaning","type":"article-journal","volume":"22"},"uris":["http://www.mendeley.com/documents/?uuid=92ad5bfa-facb-3756-936d-a355208ab044"]}],"mendeley":{"formattedCitation":"(Moseley et al. 2012)","plainTextFormattedCitation":"(Moseley et al. 2012)","previouslyFormattedCitation":"&lt;sup&gt;38&lt;/sup&gt;"},"properties":{"noteIndex":0},"schema":"https://github.com/citation-style-language/schema/raw/master/csl-citation.json"}</w:instrText>
            </w:r>
            <w:r w:rsidRPr="00101744">
              <w:rPr>
                <w:rFonts w:ascii="Arial" w:eastAsia="Times New Roman" w:hAnsi="Arial" w:cs="Arial"/>
                <w:sz w:val="18"/>
                <w:szCs w:val="18"/>
                <w:lang w:val="en-US" w:eastAsia="pt-PT"/>
              </w:rPr>
              <w:fldChar w:fldCharType="separate"/>
            </w:r>
            <w:r w:rsidR="00C14016" w:rsidRPr="00C14016">
              <w:rPr>
                <w:rFonts w:ascii="Arial" w:hAnsi="Arial" w:cs="Arial"/>
                <w:noProof/>
                <w:sz w:val="18"/>
                <w:szCs w:val="18"/>
                <w:lang w:eastAsia="pt-PT"/>
              </w:rPr>
              <w:t>(Moseley et al. 2012)</w:t>
            </w:r>
            <w:r w:rsidRPr="00101744">
              <w:rPr>
                <w:rFonts w:ascii="Arial" w:eastAsia="Times New Roman" w:hAnsi="Arial" w:cs="Arial"/>
                <w:sz w:val="18"/>
                <w:szCs w:val="18"/>
                <w:lang w:val="en-US" w:eastAsia="pt-PT"/>
              </w:rPr>
              <w:fldChar w:fldCharType="end"/>
            </w:r>
          </w:p>
        </w:tc>
        <w:tc>
          <w:tcPr>
            <w:tcW w:w="709" w:type="dxa"/>
            <w:noWrap/>
            <w:hideMark/>
          </w:tcPr>
          <w:p w14:paraId="4655E2C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18</w:t>
            </w:r>
          </w:p>
        </w:tc>
        <w:tc>
          <w:tcPr>
            <w:tcW w:w="650" w:type="dxa"/>
            <w:noWrap/>
            <w:hideMark/>
          </w:tcPr>
          <w:p w14:paraId="67E9555D"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517" w:type="dxa"/>
            <w:noWrap/>
            <w:hideMark/>
          </w:tcPr>
          <w:p w14:paraId="7D7CBAA8" w14:textId="77777777" w:rsidR="003D1F45" w:rsidRPr="00101744" w:rsidRDefault="003D1F45" w:rsidP="00B60BB2">
            <w:pPr>
              <w:jc w:val="center"/>
              <w:rPr>
                <w:rFonts w:ascii="Arial" w:eastAsia="Times New Roman" w:hAnsi="Arial" w:cs="Arial"/>
                <w:sz w:val="18"/>
                <w:szCs w:val="18"/>
                <w:lang w:val="en-US" w:eastAsia="pt-PT"/>
              </w:rPr>
            </w:pPr>
          </w:p>
        </w:tc>
        <w:tc>
          <w:tcPr>
            <w:tcW w:w="767" w:type="dxa"/>
            <w:noWrap/>
            <w:hideMark/>
          </w:tcPr>
          <w:p w14:paraId="3511B21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29</w:t>
            </w:r>
          </w:p>
        </w:tc>
        <w:tc>
          <w:tcPr>
            <w:tcW w:w="695" w:type="dxa"/>
            <w:noWrap/>
            <w:hideMark/>
          </w:tcPr>
          <w:p w14:paraId="02EB291B"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907" w:type="dxa"/>
            <w:noWrap/>
            <w:hideMark/>
          </w:tcPr>
          <w:p w14:paraId="12949C1F"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words</w:t>
            </w:r>
          </w:p>
        </w:tc>
        <w:tc>
          <w:tcPr>
            <w:tcW w:w="445" w:type="dxa"/>
            <w:noWrap/>
            <w:hideMark/>
          </w:tcPr>
          <w:p w14:paraId="6A36044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83</w:t>
            </w:r>
          </w:p>
        </w:tc>
        <w:tc>
          <w:tcPr>
            <w:tcW w:w="1681" w:type="dxa"/>
            <w:noWrap/>
            <w:hideMark/>
          </w:tcPr>
          <w:p w14:paraId="354F701D"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3T Trio Siemens</w:t>
            </w:r>
          </w:p>
        </w:tc>
        <w:tc>
          <w:tcPr>
            <w:tcW w:w="1547" w:type="dxa"/>
            <w:noWrap/>
            <w:hideMark/>
          </w:tcPr>
          <w:p w14:paraId="438CCB3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SPM5</w:t>
            </w:r>
          </w:p>
        </w:tc>
        <w:tc>
          <w:tcPr>
            <w:tcW w:w="1855" w:type="dxa"/>
            <w:noWrap/>
            <w:hideMark/>
          </w:tcPr>
          <w:p w14:paraId="0B5D168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P(FDR)&lt;0.05</w:t>
            </w:r>
          </w:p>
        </w:tc>
        <w:tc>
          <w:tcPr>
            <w:tcW w:w="717" w:type="dxa"/>
            <w:noWrap/>
            <w:hideMark/>
          </w:tcPr>
          <w:p w14:paraId="0D355A0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6" w:type="dxa"/>
            <w:noWrap/>
            <w:hideMark/>
          </w:tcPr>
          <w:p w14:paraId="52CBD8D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r>
      <w:tr w:rsidR="003D1F45" w:rsidRPr="00101744" w14:paraId="480BC373" w14:textId="77777777" w:rsidTr="00B60BB2">
        <w:trPr>
          <w:trHeight w:val="300"/>
        </w:trPr>
        <w:tc>
          <w:tcPr>
            <w:tcW w:w="2269" w:type="dxa"/>
            <w:noWrap/>
            <w:vAlign w:val="center"/>
            <w:hideMark/>
          </w:tcPr>
          <w:p w14:paraId="36D945CA" w14:textId="58786DC0"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{"citationItems":[{"id":"ITEM-1","itemData":{"DOI":"10.1002/hbm.20240","ISSN":"10659471","PMID":"16639742","abstract":"With event-related functional MRI (fMRI) and with behavioral measures we studied the brain processes underlying the acquisition of native language literacy. Adult dialect speakers were scanned while reading words belonging to three different conditions: dialect words, i.e., the native language in which subjects are illiterate (dialect), German words, i.e., the second language in which subjects are literate, and pseudo-words. Investigating literacy acquisition of a dialect may reveal how novel readers of a language build an orthographic lexicon, i.e., establish a link between already available semantic and phonological representations and new orthographic word forms. The main results of the study indicate that a set of regions, including the left anterior hippocampal formation and subcortical nuclei, is involved in the buildup of orthographic representations. The repeated exposure to written dialect words resulted in a convergence of the neural substrate to that of the language in which these subjects were already proficient readers. The latter result is compatible with a \"fast\" brain plasticity process that may be related to a shift of reading strategies.","author":[{"dropping-particle":"","family":"Abutalebi","given":"Jubin","non-dropping-particle":"","parse-names":false,"suffix":""},{"dropping-particle":"","family":"Keim","given":"Roland","non-dropping-particle":"","parse-names":false,"suffix":""},{"dropping-particle":"","family":"Brambati","given":"Simona M.","non-dropping-particle":"","parse-names":false,"suffix":""},{"dropping-particle":"","family":"Tettamanti","given":"Marco","non-dropping-particle":"","parse-names":false,"suffix":""},{"dropping-particle":"","family":"Cappa","given":"Stefano F.","non-dropping-particle":"","parse-names":false,"suffix":""},{"dropping-particle":"","family":"Bleser","given":"Ria","non-dropping-particle":"De","parse-names":false,"suffix":""},{"dropping-particle":"","family":"Perani","given":"Daniela","non-dropping-particle":"","parse-names":false,"suffix":""}],"container-title":"Human Brain Mapping","id":"ITEM-1","issue":"1","issued":{"date-parts":[["2007","1"]]},"page":"19-33","title":"Late acquisition of literacy in a native language","type":"article-journal","volume":"28"},"uris":["http://www.mendeley.com/documents/?uuid=5c8ab5c3-1413-3730-816f-1a0139d792e1"]}],"mendeley":{"formattedCitation":"(Abutalebi et al. 2007)","plainTextFormattedCitation":"(Abutalebi et al. 2007)","previouslyFormattedCitation":"&lt;sup&gt;39&lt;/sup&gt;"},"properties":{"noteIndex":0},"schema":"https://github.com/citation-style-language/schema/raw/master/csl-citation.json"}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(Abutalebi et al. 2007)</w:t>
            </w:r>
            <w:r w:rsidRPr="00101744">
              <w:rPr>
                <w:rFonts w:ascii="Arial" w:eastAsia="Times New Roman" w:hAnsi="Arial" w:cs="Arial"/>
                <w:color w:val="000000"/>
                <w:sz w:val="18"/>
                <w:szCs w:val="18"/>
                <w:lang w:val="en-US" w:eastAsia="pt-PT"/>
              </w:rPr>
              <w:fldChar w:fldCharType="end"/>
            </w:r>
          </w:p>
        </w:tc>
        <w:tc>
          <w:tcPr>
            <w:tcW w:w="709" w:type="dxa"/>
            <w:noWrap/>
            <w:hideMark/>
          </w:tcPr>
          <w:p w14:paraId="485733F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547185E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0</w:t>
            </w:r>
          </w:p>
        </w:tc>
        <w:tc>
          <w:tcPr>
            <w:tcW w:w="517" w:type="dxa"/>
            <w:noWrap/>
            <w:hideMark/>
          </w:tcPr>
          <w:p w14:paraId="222B2D2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767" w:type="dxa"/>
            <w:noWrap/>
            <w:hideMark/>
          </w:tcPr>
          <w:p w14:paraId="6D705ED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25</w:t>
            </w:r>
          </w:p>
        </w:tc>
        <w:tc>
          <w:tcPr>
            <w:tcW w:w="695" w:type="dxa"/>
            <w:noWrap/>
            <w:hideMark/>
          </w:tcPr>
          <w:p w14:paraId="0AF3ACB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22-29</w:t>
            </w:r>
          </w:p>
        </w:tc>
        <w:tc>
          <w:tcPr>
            <w:tcW w:w="1907" w:type="dxa"/>
            <w:noWrap/>
            <w:hideMark/>
          </w:tcPr>
          <w:p w14:paraId="4134872C"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w:t>
            </w:r>
          </w:p>
        </w:tc>
        <w:tc>
          <w:tcPr>
            <w:tcW w:w="445" w:type="dxa"/>
            <w:noWrap/>
            <w:hideMark/>
          </w:tcPr>
          <w:p w14:paraId="1732756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65</w:t>
            </w:r>
          </w:p>
        </w:tc>
        <w:tc>
          <w:tcPr>
            <w:tcW w:w="1681" w:type="dxa"/>
            <w:noWrap/>
            <w:hideMark/>
          </w:tcPr>
          <w:p w14:paraId="05CEE922"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1.5T GE</w:t>
            </w:r>
          </w:p>
        </w:tc>
        <w:tc>
          <w:tcPr>
            <w:tcW w:w="1547" w:type="dxa"/>
            <w:noWrap/>
            <w:hideMark/>
          </w:tcPr>
          <w:p w14:paraId="6DD2625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SPM2</w:t>
            </w:r>
          </w:p>
        </w:tc>
        <w:tc>
          <w:tcPr>
            <w:tcW w:w="1855" w:type="dxa"/>
            <w:noWrap/>
            <w:hideMark/>
          </w:tcPr>
          <w:p w14:paraId="3B147FA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P(FDR)&lt;0.01</w:t>
            </w:r>
          </w:p>
        </w:tc>
        <w:tc>
          <w:tcPr>
            <w:tcW w:w="717" w:type="dxa"/>
            <w:noWrap/>
            <w:hideMark/>
          </w:tcPr>
          <w:p w14:paraId="1C71D28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6" w:type="dxa"/>
            <w:noWrap/>
            <w:hideMark/>
          </w:tcPr>
          <w:p w14:paraId="55A5787A" w14:textId="77777777" w:rsidR="003D1F45" w:rsidRPr="00101744" w:rsidRDefault="003D1F45" w:rsidP="00B60BB2">
            <w:pPr>
              <w:jc w:val="center"/>
              <w:rPr>
                <w:rFonts w:ascii="Arial" w:eastAsia="Times New Roman" w:hAnsi="Arial" w:cs="Arial"/>
                <w:color w:val="000000"/>
                <w:sz w:val="18"/>
                <w:szCs w:val="18"/>
                <w:lang w:val="en-US" w:eastAsia="pt-PT"/>
              </w:rPr>
            </w:pPr>
          </w:p>
        </w:tc>
      </w:tr>
      <w:tr w:rsidR="003D1F45" w:rsidRPr="00101744" w14:paraId="0D6DDA1A" w14:textId="77777777" w:rsidTr="00B60BB2">
        <w:trPr>
          <w:trHeight w:val="300"/>
        </w:trPr>
        <w:tc>
          <w:tcPr>
            <w:tcW w:w="2269" w:type="dxa"/>
            <w:noWrap/>
            <w:vAlign w:val="center"/>
            <w:hideMark/>
          </w:tcPr>
          <w:p w14:paraId="0655F889" w14:textId="23F34482" w:rsidR="003D1F45" w:rsidRPr="00101744" w:rsidRDefault="003D1F45" w:rsidP="00C14016">
            <w:pPr>
              <w:rPr>
                <w:rFonts w:ascii="Arial" w:eastAsia="Times New Roman" w:hAnsi="Arial" w:cs="Arial"/>
                <w:b/>
                <w:bCs/>
                <w:sz w:val="18"/>
                <w:szCs w:val="18"/>
                <w:lang w:val="en-US" w:eastAsia="pt-PT"/>
              </w:rPr>
            </w:pPr>
            <w:r w:rsidRPr="00101744">
              <w:rPr>
                <w:rFonts w:ascii="Arial" w:eastAsia="Times New Roman" w:hAnsi="Arial" w:cs="Arial"/>
                <w:sz w:val="18"/>
                <w:szCs w:val="18"/>
                <w:lang w:val="en-US" w:eastAsia="pt-PT"/>
              </w:rPr>
              <w:fldChar w:fldCharType="begin" w:fldLock="1"/>
            </w:r>
            <w:r w:rsidR="00C14016">
              <w:rPr>
                <w:rFonts w:ascii="Arial" w:hAnsi="Arial" w:cs="Arial"/>
                <w:sz w:val="18"/>
                <w:szCs w:val="18"/>
                <w:lang w:eastAsia="pt-PT"/>
              </w:rPr>
              <w:instrText>ADDIN CSL_CITATION {"citationItems":[{"id":"ITEM-1","itemData":{"DOI":"10.1002/hbm.20318","ISSN":"10659471","PMID":"17274018","abstract":"Understanding a complex sentence requires the processing of information at different (e.g., phonological, semantic, and syntactic) levels, the intermediate storage of this information and the unification of this information to compute the meaning of the sentence information. The present investigation homed in on two aspects of sentence processing: working memory and reanalysis. Event-related functional MRI was used in 12 healthy native speakers of German, while they read sentences. Half of the sentences had unambiguous initial noun-phrases (masculine nominative, masculine accusative) and thus signaled subject-first (canonical) or object-first (noncanonical) sentences. Noncanonical unambiguous sentences were supposed to entail greater demand on working memory, because of their more complex syntactic structure. The other half of the sentences had case-ambiguous initial noun-phrases (feminine gender). Only the second unambiguous noun-phrase (eighth position in the sentences) revealed, whether a canonical or noncanonical word order was present. Based on previous data it was hypothesized that ambiguous noncanonical sentences required a recomputation of the sentence, as subjects would initially commit to a subject first reading. In the respective contrasts two main areas of brain activation were observed. Unambiguous noncanonical sentences elicited more activation in left inferior frontal cortex relative unambiguous canonical sentences. This was interpreted in conjunction with the greater demands on working memory in the former condition. For noncanonical ambiguous relative to canonical ambiguous sentences, an activation of the left supramarginal gyrus was revealed, which was interpreted as a reflection of the reanalysis-requirements induced by this condition.","author":[{"dropping-particle":"","family":"Bahlmann","given":"Jörg","non-dropping-particle":"","parse-names":false,"suffix":""},{"dropping-particle":"","family":"Rodriguez-Fornells","given":"Antoni","non-dropping-particle":"","parse-names":false,"suffix":""},{"dropping-particle":"","family":"Rotte","given":"Michael","non-dropping-particle":"","parse-names":false,"suffix":""},{"dropping-particle":"","family":"Münte","given":"Thomas F.","non-dropping-particle":"","parse-names":false,"suffix":""}],"container-title":"Human Brain Mapping","id":"ITEM-1","issue":"10","issued":{"date-parts":[["2007","10"]]},"page":"940-949","title":"An fMRI study of canonical and noncanonical word order in German","type":"article-journal","volume":"28"},"uris":["http://www.mendeley.com/documents/?uuid=3646dbfb-1e8a-352c-8b63-4758678afbe9"]}],"mendeley":{"formattedCitation":"(Bahlmann et al. 2007)","plainTextFormattedCitation":"(Bahlmann et al. 2007)","previouslyFormattedCitation":"&lt;sup&gt;40&lt;/sup&gt;"},"properties":{"noteIndex":0},"schema":"https://github.com/citation-style-language/schema/raw/master/csl-citation.json"}</w:instrText>
            </w:r>
            <w:r w:rsidRPr="00101744">
              <w:rPr>
                <w:rFonts w:ascii="Arial" w:eastAsia="Times New Roman" w:hAnsi="Arial" w:cs="Arial"/>
                <w:sz w:val="18"/>
                <w:szCs w:val="18"/>
                <w:lang w:val="en-US" w:eastAsia="pt-PT"/>
              </w:rPr>
              <w:fldChar w:fldCharType="separate"/>
            </w:r>
            <w:r w:rsidR="00C14016" w:rsidRPr="00C14016">
              <w:rPr>
                <w:rFonts w:ascii="Arial" w:hAnsi="Arial" w:cs="Arial"/>
                <w:noProof/>
                <w:sz w:val="18"/>
                <w:szCs w:val="18"/>
                <w:lang w:eastAsia="pt-PT"/>
              </w:rPr>
              <w:t>(Bahlmann et al. 2007)</w:t>
            </w:r>
            <w:r w:rsidRPr="00101744">
              <w:rPr>
                <w:rFonts w:ascii="Arial" w:eastAsia="Times New Roman" w:hAnsi="Arial" w:cs="Arial"/>
                <w:sz w:val="18"/>
                <w:szCs w:val="18"/>
                <w:lang w:val="en-US" w:eastAsia="pt-PT"/>
              </w:rPr>
              <w:fldChar w:fldCharType="end"/>
            </w:r>
          </w:p>
        </w:tc>
        <w:tc>
          <w:tcPr>
            <w:tcW w:w="709" w:type="dxa"/>
            <w:noWrap/>
            <w:hideMark/>
          </w:tcPr>
          <w:p w14:paraId="2B2C468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5C99BF8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c>
          <w:tcPr>
            <w:tcW w:w="517" w:type="dxa"/>
            <w:noWrap/>
            <w:hideMark/>
          </w:tcPr>
          <w:p w14:paraId="11561AE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9</w:t>
            </w:r>
          </w:p>
        </w:tc>
        <w:tc>
          <w:tcPr>
            <w:tcW w:w="767" w:type="dxa"/>
            <w:noWrap/>
            <w:hideMark/>
          </w:tcPr>
          <w:p w14:paraId="2F53D15D"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95" w:type="dxa"/>
            <w:noWrap/>
            <w:hideMark/>
          </w:tcPr>
          <w:p w14:paraId="3D93996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20-28</w:t>
            </w:r>
          </w:p>
        </w:tc>
        <w:tc>
          <w:tcPr>
            <w:tcW w:w="1907" w:type="dxa"/>
            <w:noWrap/>
            <w:hideMark/>
          </w:tcPr>
          <w:p w14:paraId="6270DC3B"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Reading </w:t>
            </w:r>
          </w:p>
        </w:tc>
        <w:tc>
          <w:tcPr>
            <w:tcW w:w="445" w:type="dxa"/>
            <w:noWrap/>
            <w:hideMark/>
          </w:tcPr>
          <w:p w14:paraId="1EBDBF2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w:t>
            </w:r>
          </w:p>
        </w:tc>
        <w:tc>
          <w:tcPr>
            <w:tcW w:w="1681" w:type="dxa"/>
            <w:noWrap/>
            <w:hideMark/>
          </w:tcPr>
          <w:p w14:paraId="705A9DA5"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1.5T </w:t>
            </w:r>
            <w:proofErr w:type="spellStart"/>
            <w:r w:rsidRPr="00101744">
              <w:rPr>
                <w:rFonts w:ascii="Arial" w:eastAsia="Times New Roman" w:hAnsi="Arial" w:cs="Arial"/>
                <w:color w:val="000000"/>
                <w:sz w:val="18"/>
                <w:szCs w:val="18"/>
                <w:lang w:val="en-US" w:eastAsia="pt-PT"/>
              </w:rPr>
              <w:t>Signa</w:t>
            </w:r>
            <w:proofErr w:type="spellEnd"/>
            <w:r w:rsidRPr="00101744">
              <w:rPr>
                <w:rFonts w:ascii="Arial" w:eastAsia="Times New Roman" w:hAnsi="Arial" w:cs="Arial"/>
                <w:color w:val="000000"/>
                <w:sz w:val="18"/>
                <w:szCs w:val="18"/>
                <w:lang w:val="en-US" w:eastAsia="pt-PT"/>
              </w:rPr>
              <w:t xml:space="preserve"> GE</w:t>
            </w:r>
          </w:p>
        </w:tc>
        <w:tc>
          <w:tcPr>
            <w:tcW w:w="1547" w:type="dxa"/>
            <w:noWrap/>
            <w:hideMark/>
          </w:tcPr>
          <w:p w14:paraId="5F5EAD6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4E2F99B1"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Pcluster</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1328018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1500</w:t>
            </w:r>
          </w:p>
        </w:tc>
        <w:tc>
          <w:tcPr>
            <w:tcW w:w="1146" w:type="dxa"/>
            <w:noWrap/>
            <w:hideMark/>
          </w:tcPr>
          <w:p w14:paraId="00CE826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3.125</w:t>
            </w:r>
          </w:p>
        </w:tc>
      </w:tr>
      <w:tr w:rsidR="003D1F45" w:rsidRPr="00101744" w14:paraId="7E27D251" w14:textId="77777777" w:rsidTr="00B60BB2">
        <w:trPr>
          <w:trHeight w:val="300"/>
        </w:trPr>
        <w:tc>
          <w:tcPr>
            <w:tcW w:w="2269" w:type="dxa"/>
            <w:noWrap/>
            <w:vAlign w:val="center"/>
            <w:hideMark/>
          </w:tcPr>
          <w:p w14:paraId="4A54D6C3" w14:textId="5DEEF8FD"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{"citationItems":[{"id":"ITEM-1","itemData":{"DOI":"10.1002/hbm.20236","ISSN":"10659471","PMID":"16628608","abstract":"This functional MRI (fMRI) study investigated the effect of lexical and syllable frequency on visual word processing during lexical decision and reading aloud. Previous research has shown a dissociation of syllable and word frequency effects in Spanish using behavioral and electrophysiological measures, suggesting that sublexical (syllabic) representations are computed and mediate the firing of lexical candidates. Here, we characterize the neuroanatomical basis of these lexical and sublexical manipulations and their dependence on task. During lexical decision, words with low vs. high lexical frequency increased activation in left frontal, anterior cingulate, supplemental motor area (SMA), and pre-SMA regions; while words with high vs. low syllable frequency increased activation in a left anterior inferior temporal region. In contrast, when the words were read aloud those with low vs. high syllable frequency increased activation in the left anterior insula, with no other significant effects. On the basis of the neuroanatomy, we propose that the contrasting effects of syllable frequency during lexical decision and reading aloud reflect two different cognitive processes in visual word processing. Specifically, words with high-frequency syllables may increase lexical competition in the inferior temporal lobe while facilitating articulatory planning in the left anterior insula.","author":[{"dropping-particle":"","family":"Carreiras","given":"Manuel","non-dropping-particle":"","parse-names":false,"suffix":""},{"dropping-particle":"","family":"Mechelli","given":"Andrea","non-dropping-particle":"","parse-names":false,"suffix":""},{"dropping-particle":"","family":"Price","given":"Cathy J.","non-dropping-particle":"","parse-names":false,"suffix":""}],"container-title":"Human Brain Mapping","id":"ITEM-1","issue":"12","issued":{"date-parts":[["2006","12"]]},"page":"963-972","title":"Effect of word and syllable frequency on activation during lexical decision and reading aloud","type":"article-journal","volume":"27"},"uris":["http://www.mendeley.com/documents/?uuid=c41d4540-a4e0-3612-a209-51e5e8aa69f6"]}],"mendeley":{"formattedCitation":"(Carreiras, Mechelli, and Price 2006)","plainTextFormattedCitation":"(Carreiras, Mechelli, and Price 2006)","previouslyFormattedCitation":"&lt;sup&gt;41&lt;/sup&gt;"},"properties":{"noteIndex":0},"schema":"https://github.com/citation-style-language/schema/raw/master/csl-citation.json"}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(Carreiras, Mechelli, and Price 2006)</w:t>
            </w:r>
            <w:r w:rsidRPr="00101744">
              <w:rPr>
                <w:rFonts w:ascii="Arial" w:eastAsia="Times New Roman" w:hAnsi="Arial" w:cs="Arial"/>
                <w:color w:val="000000"/>
                <w:sz w:val="18"/>
                <w:szCs w:val="18"/>
                <w:lang w:val="en-US" w:eastAsia="pt-PT"/>
              </w:rPr>
              <w:fldChar w:fldCharType="end"/>
            </w:r>
          </w:p>
        </w:tc>
        <w:tc>
          <w:tcPr>
            <w:tcW w:w="709" w:type="dxa"/>
            <w:noWrap/>
            <w:hideMark/>
          </w:tcPr>
          <w:p w14:paraId="33BFC87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16</w:t>
            </w:r>
          </w:p>
        </w:tc>
        <w:tc>
          <w:tcPr>
            <w:tcW w:w="650" w:type="dxa"/>
            <w:noWrap/>
            <w:hideMark/>
          </w:tcPr>
          <w:p w14:paraId="5F7AB30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w:t>
            </w:r>
          </w:p>
        </w:tc>
        <w:tc>
          <w:tcPr>
            <w:tcW w:w="517" w:type="dxa"/>
            <w:noWrap/>
            <w:hideMark/>
          </w:tcPr>
          <w:p w14:paraId="0132208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c>
          <w:tcPr>
            <w:tcW w:w="767" w:type="dxa"/>
            <w:noWrap/>
            <w:hideMark/>
          </w:tcPr>
          <w:p w14:paraId="7B16BBD9"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95" w:type="dxa"/>
            <w:noWrap/>
            <w:hideMark/>
          </w:tcPr>
          <w:p w14:paraId="323167C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22-46</w:t>
            </w:r>
          </w:p>
        </w:tc>
        <w:tc>
          <w:tcPr>
            <w:tcW w:w="1907" w:type="dxa"/>
            <w:noWrap/>
            <w:hideMark/>
          </w:tcPr>
          <w:p w14:paraId="2C65EFC4"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words aloud</w:t>
            </w:r>
          </w:p>
        </w:tc>
        <w:tc>
          <w:tcPr>
            <w:tcW w:w="445" w:type="dxa"/>
            <w:noWrap/>
            <w:hideMark/>
          </w:tcPr>
          <w:p w14:paraId="5DAC02D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w:t>
            </w:r>
          </w:p>
        </w:tc>
        <w:tc>
          <w:tcPr>
            <w:tcW w:w="1681" w:type="dxa"/>
            <w:noWrap/>
            <w:hideMark/>
          </w:tcPr>
          <w:p w14:paraId="2AF54394"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1.5T </w:t>
            </w:r>
            <w:proofErr w:type="spellStart"/>
            <w:r w:rsidRPr="00101744">
              <w:rPr>
                <w:rFonts w:ascii="Arial" w:eastAsia="Times New Roman" w:hAnsi="Arial" w:cs="Arial"/>
                <w:color w:val="000000"/>
                <w:sz w:val="18"/>
                <w:szCs w:val="18"/>
                <w:lang w:val="en-US" w:eastAsia="pt-PT"/>
              </w:rPr>
              <w:t>siemens</w:t>
            </w:r>
            <w:proofErr w:type="spellEnd"/>
          </w:p>
        </w:tc>
        <w:tc>
          <w:tcPr>
            <w:tcW w:w="1547" w:type="dxa"/>
            <w:noWrap/>
            <w:hideMark/>
          </w:tcPr>
          <w:p w14:paraId="1E2E3FF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SPM2</w:t>
            </w:r>
          </w:p>
        </w:tc>
        <w:tc>
          <w:tcPr>
            <w:tcW w:w="1855" w:type="dxa"/>
            <w:noWrap/>
            <w:hideMark/>
          </w:tcPr>
          <w:p w14:paraId="6F5886DF"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Pcorr</w:t>
            </w:r>
            <w:proofErr w:type="spellEnd"/>
            <w:r w:rsidRPr="00101744">
              <w:rPr>
                <w:rFonts w:ascii="Arial" w:eastAsia="Times New Roman" w:hAnsi="Arial" w:cs="Arial"/>
                <w:color w:val="000000"/>
                <w:sz w:val="18"/>
                <w:szCs w:val="18"/>
                <w:lang w:val="en-US" w:eastAsia="pt-PT"/>
              </w:rPr>
              <w:t>&lt;0.05</w:t>
            </w:r>
          </w:p>
        </w:tc>
        <w:tc>
          <w:tcPr>
            <w:tcW w:w="717" w:type="dxa"/>
            <w:noWrap/>
            <w:hideMark/>
          </w:tcPr>
          <w:p w14:paraId="323B164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3150</w:t>
            </w:r>
          </w:p>
        </w:tc>
        <w:tc>
          <w:tcPr>
            <w:tcW w:w="1146" w:type="dxa"/>
            <w:noWrap/>
            <w:hideMark/>
          </w:tcPr>
          <w:p w14:paraId="1FD309B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r>
      <w:tr w:rsidR="003D1F45" w:rsidRPr="00101744" w14:paraId="649F6FE4" w14:textId="77777777" w:rsidTr="00B60BB2">
        <w:trPr>
          <w:trHeight w:val="300"/>
        </w:trPr>
        <w:tc>
          <w:tcPr>
            <w:tcW w:w="2269" w:type="dxa"/>
            <w:noWrap/>
            <w:vAlign w:val="center"/>
            <w:hideMark/>
          </w:tcPr>
          <w:p w14:paraId="58BC79C4" w14:textId="1B09FA16" w:rsidR="003D1F45" w:rsidRPr="00101744" w:rsidRDefault="003D1F45" w:rsidP="00C14016">
            <w:pPr>
              <w:rPr>
                <w:rFonts w:ascii="Arial" w:eastAsia="Times New Roman" w:hAnsi="Arial" w:cs="Arial"/>
                <w:b/>
                <w:bCs/>
                <w:sz w:val="18"/>
                <w:szCs w:val="18"/>
                <w:lang w:val="en-US" w:eastAsia="pt-PT"/>
              </w:rPr>
            </w:pPr>
            <w:r w:rsidRPr="00101744">
              <w:rPr>
                <w:rFonts w:ascii="Arial" w:eastAsia="Times New Roman" w:hAnsi="Arial" w:cs="Arial"/>
                <w:sz w:val="18"/>
                <w:szCs w:val="18"/>
                <w:lang w:val="en-US" w:eastAsia="pt-PT"/>
              </w:rPr>
              <w:lastRenderedPageBreak/>
              <w:fldChar w:fldCharType="begin" w:fldLock="1"/>
            </w:r>
            <w:r w:rsidR="00C14016">
              <w:rPr>
                <w:rFonts w:ascii="Arial" w:hAnsi="Arial" w:cs="Arial"/>
                <w:sz w:val="18"/>
                <w:szCs w:val="18"/>
                <w:lang w:eastAsia="pt-PT"/>
              </w:rPr>
              <w:instrText>ADDIN CSL_CITATION {"citationItems":[{"id":"ITEM-1","itemData":{"DOI":"10.1002/hbm.20827","ISSN":"10659471","PMID":"19492301","abstract":"This study investigated test-retest functional magnetic resonance imaging (fMRI) reproducibility in 10 healthy older adults and in 10 mild cognitive impairment (MCI) persons using a two-condition (encoding and retrieval) verbal episodic memory task as well as a two-condition (with and without a motor response) phonological processing task. Reproducibility measures included an overlap ratio with four different thresholds, statistical comparisons of the condition contrasts across sessions (test-retest contrasts), ANCOVAs, and intraclass correlation (ICC) on selected regions of interests (ROIs). In all four conditions and for all reproducibility measures, MCI individuals showed fMRI test-retest reproducibility indices that were comparable to those of healthy older adults. At the group level, the comparison of the test-retest condition contrasts yielded very few differences in the areas and level of activation and those differences tended to show a slight reduction of activation in the second session. In addition, the results from the ANCOVAs showed that the fMRI signal measured at the group level does not vary significantly from one session to another. Overlap ratios, however, showed that the fMRI signal failed to produce a reliable pattern of significantly activated voxels across sessions. ICC analyses on selected ROIs indicated t</w:instrText>
            </w:r>
            <w:r w:rsidR="00C14016" w:rsidRPr="00C14016">
              <w:rPr>
                <w:rFonts w:ascii="Arial" w:hAnsi="Arial" w:cs="Arial"/>
                <w:sz w:val="18"/>
                <w:szCs w:val="18"/>
                <w:lang w:val="en-GB" w:eastAsia="pt-PT"/>
              </w:rPr>
              <w:instrText>hat there is high within-subject variability, suggesting reduced reliability at the individual level. Overall, these findings indicate that MCI individuals show fMRI test-retest reproducibility comparable to those of healthy controls and hence that MCI do not alter fMRI reproducibility. Furthermore, they indicate that monitoring treatment effects is reliable when comparing groups but reduced when comparing single individuals. These results have precise implications for the design of longitudinal studies relying on fMRI measures in older adults.","author":[{"dropping-particle":"","family":"Clément","given":"Francis","non-dropping-particle":"","parse-names":false,"suffix":""},{"dropping-particle":"","family":"Belleville","given":"Sylvie","non-dropping-particle":"","parse-names":false,"suffix":""}],"container-title":"Human Brain Mapping","id":"ITEM-1","issue":"12","issued":{"date-parts":[["2009","12"]]},"page":"4033-4047","title":"Test-retest reliability of fMRI verbal episodic memory paradigms in healthy older adults and in persons with mild cognitive impairment","type":"article-journal","volume":"30"},"uris":["http://www.mendeley.com/documents/?uuid=5da4fe96-57ec-39a1-a1fc-93e1fbde7fc0"]}],"mendeley":{"formattedCitation":"(Clément and Belleville 2009)","plainTextFormattedCitation":"(Clément and Belleville 2009)","previouslyFormattedCitation":"&lt;sup&gt;42&lt;/sup&gt;"},"properties":{"noteIndex":0},"schema":"https://github.com/citation-style-language/schema/raw/master/csl-citation.json"}</w:instrText>
            </w:r>
            <w:r w:rsidRPr="00101744">
              <w:rPr>
                <w:rFonts w:ascii="Arial" w:eastAsia="Times New Roman" w:hAnsi="Arial" w:cs="Arial"/>
                <w:sz w:val="18"/>
                <w:szCs w:val="18"/>
                <w:lang w:val="en-US" w:eastAsia="pt-PT"/>
              </w:rPr>
              <w:fldChar w:fldCharType="separate"/>
            </w:r>
            <w:r w:rsidR="00C14016" w:rsidRPr="00C14016">
              <w:rPr>
                <w:rFonts w:ascii="Arial" w:hAnsi="Arial" w:cs="Arial"/>
                <w:noProof/>
                <w:sz w:val="18"/>
                <w:szCs w:val="18"/>
                <w:lang w:val="en-GB" w:eastAsia="pt-PT"/>
              </w:rPr>
              <w:t>(Clément and Belleville 2009)</w:t>
            </w:r>
            <w:r w:rsidRPr="00101744">
              <w:rPr>
                <w:rFonts w:ascii="Arial" w:eastAsia="Times New Roman" w:hAnsi="Arial" w:cs="Arial"/>
                <w:sz w:val="18"/>
                <w:szCs w:val="18"/>
                <w:lang w:val="en-US" w:eastAsia="pt-PT"/>
              </w:rPr>
              <w:fldChar w:fldCharType="end"/>
            </w:r>
          </w:p>
        </w:tc>
        <w:tc>
          <w:tcPr>
            <w:tcW w:w="709" w:type="dxa"/>
            <w:noWrap/>
            <w:hideMark/>
          </w:tcPr>
          <w:p w14:paraId="5198364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c>
          <w:tcPr>
            <w:tcW w:w="650" w:type="dxa"/>
            <w:noWrap/>
            <w:hideMark/>
          </w:tcPr>
          <w:p w14:paraId="57675F7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w:t>
            </w:r>
          </w:p>
        </w:tc>
        <w:tc>
          <w:tcPr>
            <w:tcW w:w="517" w:type="dxa"/>
            <w:noWrap/>
            <w:hideMark/>
          </w:tcPr>
          <w:p w14:paraId="33C5527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767" w:type="dxa"/>
            <w:noWrap/>
            <w:hideMark/>
          </w:tcPr>
          <w:p w14:paraId="33FA301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71</w:t>
            </w:r>
          </w:p>
        </w:tc>
        <w:tc>
          <w:tcPr>
            <w:tcW w:w="695" w:type="dxa"/>
            <w:noWrap/>
            <w:hideMark/>
          </w:tcPr>
          <w:p w14:paraId="2014DD4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55-80</w:t>
            </w:r>
          </w:p>
        </w:tc>
        <w:tc>
          <w:tcPr>
            <w:tcW w:w="1907" w:type="dxa"/>
            <w:noWrap/>
            <w:hideMark/>
          </w:tcPr>
          <w:p w14:paraId="5B7968E5"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Reading </w:t>
            </w:r>
            <w:proofErr w:type="spellStart"/>
            <w:r w:rsidRPr="00101744">
              <w:rPr>
                <w:rFonts w:ascii="Arial" w:eastAsia="Times New Roman" w:hAnsi="Arial" w:cs="Arial"/>
                <w:color w:val="000000"/>
                <w:sz w:val="18"/>
                <w:szCs w:val="18"/>
                <w:lang w:val="en-US" w:eastAsia="pt-PT"/>
              </w:rPr>
              <w:t>pseudowords</w:t>
            </w:r>
            <w:proofErr w:type="spellEnd"/>
          </w:p>
        </w:tc>
        <w:tc>
          <w:tcPr>
            <w:tcW w:w="445" w:type="dxa"/>
            <w:noWrap/>
            <w:hideMark/>
          </w:tcPr>
          <w:p w14:paraId="5BBA084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w:t>
            </w:r>
          </w:p>
        </w:tc>
        <w:tc>
          <w:tcPr>
            <w:tcW w:w="1681" w:type="dxa"/>
            <w:noWrap/>
            <w:hideMark/>
          </w:tcPr>
          <w:p w14:paraId="0ADDA6DA"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3T </w:t>
            </w:r>
            <w:proofErr w:type="spellStart"/>
            <w:r w:rsidRPr="00101744">
              <w:rPr>
                <w:rFonts w:ascii="Arial" w:eastAsia="Times New Roman" w:hAnsi="Arial" w:cs="Arial"/>
                <w:color w:val="000000"/>
                <w:sz w:val="18"/>
                <w:szCs w:val="18"/>
                <w:lang w:val="en-US" w:eastAsia="pt-PT"/>
              </w:rPr>
              <w:t>Magnetom</w:t>
            </w:r>
            <w:proofErr w:type="spellEnd"/>
            <w:r w:rsidRPr="00101744">
              <w:rPr>
                <w:rFonts w:ascii="Arial" w:eastAsia="Times New Roman" w:hAnsi="Arial" w:cs="Arial"/>
                <w:color w:val="000000"/>
                <w:sz w:val="18"/>
                <w:szCs w:val="18"/>
                <w:lang w:val="en-US" w:eastAsia="pt-PT"/>
              </w:rPr>
              <w:t xml:space="preserve"> Siemens</w:t>
            </w:r>
          </w:p>
        </w:tc>
        <w:tc>
          <w:tcPr>
            <w:tcW w:w="1547" w:type="dxa"/>
            <w:noWrap/>
            <w:hideMark/>
          </w:tcPr>
          <w:p w14:paraId="7456BF1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SPM2</w:t>
            </w:r>
          </w:p>
        </w:tc>
        <w:tc>
          <w:tcPr>
            <w:tcW w:w="1855" w:type="dxa"/>
            <w:noWrap/>
            <w:hideMark/>
          </w:tcPr>
          <w:p w14:paraId="3EEE3458"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535ADD0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6" w:type="dxa"/>
            <w:noWrap/>
            <w:hideMark/>
          </w:tcPr>
          <w:p w14:paraId="5FDE0CD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3.75</w:t>
            </w:r>
          </w:p>
        </w:tc>
      </w:tr>
      <w:tr w:rsidR="003D1F45" w:rsidRPr="00101744" w14:paraId="09929485" w14:textId="77777777" w:rsidTr="00B60BB2">
        <w:trPr>
          <w:trHeight w:val="300"/>
        </w:trPr>
        <w:tc>
          <w:tcPr>
            <w:tcW w:w="2269" w:type="dxa"/>
            <w:noWrap/>
            <w:vAlign w:val="center"/>
            <w:hideMark/>
          </w:tcPr>
          <w:p w14:paraId="53946B39" w14:textId="7AB3F2E9" w:rsidR="003D1F45" w:rsidRPr="00101744" w:rsidRDefault="003D1F45" w:rsidP="00C14016">
            <w:pPr>
              <w:rPr>
                <w:rFonts w:ascii="Arial" w:eastAsia="Times New Roman" w:hAnsi="Arial" w:cs="Arial"/>
                <w:b/>
                <w:bCs/>
                <w:sz w:val="18"/>
                <w:szCs w:val="18"/>
                <w:lang w:val="en-US" w:eastAsia="pt-PT"/>
              </w:rPr>
            </w:pPr>
            <w:r w:rsidRPr="00101744">
              <w:rPr>
                <w:rFonts w:ascii="Arial" w:eastAsia="Times New Roman" w:hAnsi="Arial" w:cs="Arial"/>
                <w:sz w:val="18"/>
                <w:szCs w:val="18"/>
                <w:lang w:val="en-US" w:eastAsia="pt-PT"/>
              </w:rPr>
              <w:fldChar w:fldCharType="begin" w:fldLock="1"/>
            </w:r>
            <w:r w:rsidR="00C14016" w:rsidRPr="00C14016">
              <w:rPr>
                <w:rFonts w:ascii="Arial" w:hAnsi="Arial" w:cs="Arial"/>
                <w:sz w:val="18"/>
                <w:szCs w:val="18"/>
                <w:lang w:val="en-GB" w:eastAsia="pt-PT"/>
              </w:rPr>
              <w:instrText>ADDIN CSL_CITATION {"citationItems":[{"id":"ITEM-1","itemData":{"DOI":"10.1002/hbm.20154","ISSN":"1065-9471","PMID":"15929098","abstract":"A number of neuroimaging studies have implicated an involvement of Broca's area, particularly of the pars opercularis of the left inferior frontal gyrus (IFG), in the processing of complex (permuted) sentences. However, functional interpretations of this region's role range from very general (e.g., in terms of working memory) to highly specific (e.g., as supporting particular types of syntactic operations). A dissociation of these competing accounts is often impossible because in most cases, the language internal complexity of permuted sentence structures is accompanied invariably by increasing costs of a more general cognitive nature (e.g., working memory, task difficulty, and acceptability). We used functional magnetic resonance imaging to explore the precise nature of the pars opercularis activation in the processing of permuted sentences by examining the permutation of pronouns in German. Although clearly involving a permutation operation, sentences with an initial object pronoun behave like simple, subject-initial sentences (e.g., in terms of acceptability) because of a rule stating that pronouns should generally precede non-pro-nominal arguments. The results of the experiment show that in contrast to non-pro-nominal pe</w:instrText>
            </w:r>
            <w:r w:rsidR="00C14016">
              <w:rPr>
                <w:rFonts w:ascii="Arial" w:hAnsi="Arial" w:cs="Arial"/>
                <w:sz w:val="18"/>
                <w:szCs w:val="18"/>
                <w:lang w:eastAsia="pt-PT"/>
              </w:rPr>
              <w:instrText>rmutations, sentences with a permuted pronoun do not engender enhanced pars opercularis activation. Our findings therefore speak against both language-related working memory and transformation-based accounts of this region's role in sentence comprehension. Rather, we argu</w:instrText>
            </w:r>
            <w:r w:rsidR="00C14016" w:rsidRPr="00C14016">
              <w:rPr>
                <w:rFonts w:ascii="Arial" w:hAnsi="Arial" w:cs="Arial"/>
                <w:sz w:val="18"/>
                <w:szCs w:val="18"/>
                <w:lang w:val="en-GB" w:eastAsia="pt-PT"/>
              </w:rPr>
              <w:instrText>e that the pars opercularis of the left IFG supports the language-specific linearization of hierarchical linguistic dependencies.","author":[{"dropping-particle":"","family":"Grewe","given":"Tanja","non-dropping-particle":"","parse-names":false,"suffix":""},{"dropping-particle":"","family":"Bornkessel","given":"Ina","non-dropping-particle":"","parse-names":false,"suffix":""},{"dropping-particle":"","family":"Zysset","given":"Stefan","non-dropping-particle":"","parse-names":false,"suffix":""},{"dropping-particle":"","family":"Wiese","given":"Richard","non-dropping-particle":"","parse-names":false,"suffix":""},{"dropping-particle":"","family":"Cramon","given":"D. Yves","non-dropping-particle":"von","parse-names":false,"suffix":""},{"dropping-particle":"","family":"Schlesewsky","given":"Matthias","non-dropping-particle":"","parse-names":false,"suffix":""}],"container-title":"Human Brain Mapping","id":"ITEM-1","issue":"3","issued":{"date-parts":[["2005","11"]]},"page":"178-190","title":"The emergence of the unmarked: A new perspective on the language-specific function of Broca's area","type":"article-journal","volume":"26"},"uris":["http://www.mendeley.com/documents/?uuid=0ba94a5a-f6d8-3fbf-a27d-99749a5e0d72"]}],"mendeley":{"formattedCitation":"(Grewe et al. 2005)","plainTextFormattedCitation":"(Grewe et al. 2005)","previouslyFormattedCitation":"&lt;sup&gt;43&lt;/sup&gt;"},"properties":{"noteIndex":0},"schema":"https://github.com/citation-style-language/schema/raw/master/csl-citation.json"}</w:instrText>
            </w:r>
            <w:r w:rsidRPr="00101744">
              <w:rPr>
                <w:rFonts w:ascii="Arial" w:eastAsia="Times New Roman" w:hAnsi="Arial" w:cs="Arial"/>
                <w:sz w:val="18"/>
                <w:szCs w:val="18"/>
                <w:lang w:val="en-US" w:eastAsia="pt-PT"/>
              </w:rPr>
              <w:fldChar w:fldCharType="separate"/>
            </w:r>
            <w:r w:rsidR="00C14016" w:rsidRPr="00C14016">
              <w:rPr>
                <w:rFonts w:ascii="Arial" w:hAnsi="Arial" w:cs="Arial"/>
                <w:noProof/>
                <w:sz w:val="18"/>
                <w:szCs w:val="18"/>
                <w:lang w:val="en-GB" w:eastAsia="pt-PT"/>
              </w:rPr>
              <w:t>(Grewe et al. 2005)</w:t>
            </w:r>
            <w:r w:rsidRPr="00101744">
              <w:rPr>
                <w:rFonts w:ascii="Arial" w:eastAsia="Times New Roman" w:hAnsi="Arial" w:cs="Arial"/>
                <w:sz w:val="18"/>
                <w:szCs w:val="18"/>
                <w:lang w:val="en-US" w:eastAsia="pt-PT"/>
              </w:rPr>
              <w:fldChar w:fldCharType="end"/>
            </w:r>
          </w:p>
        </w:tc>
        <w:tc>
          <w:tcPr>
            <w:tcW w:w="709" w:type="dxa"/>
            <w:noWrap/>
            <w:hideMark/>
          </w:tcPr>
          <w:p w14:paraId="7FE24B0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16</w:t>
            </w:r>
          </w:p>
        </w:tc>
        <w:tc>
          <w:tcPr>
            <w:tcW w:w="650" w:type="dxa"/>
            <w:noWrap/>
            <w:hideMark/>
          </w:tcPr>
          <w:p w14:paraId="2765969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9</w:t>
            </w:r>
          </w:p>
        </w:tc>
        <w:tc>
          <w:tcPr>
            <w:tcW w:w="517" w:type="dxa"/>
            <w:noWrap/>
            <w:hideMark/>
          </w:tcPr>
          <w:p w14:paraId="7F4F4F0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7</w:t>
            </w:r>
          </w:p>
        </w:tc>
        <w:tc>
          <w:tcPr>
            <w:tcW w:w="767" w:type="dxa"/>
            <w:noWrap/>
            <w:hideMark/>
          </w:tcPr>
          <w:p w14:paraId="2097015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25</w:t>
            </w:r>
          </w:p>
        </w:tc>
        <w:tc>
          <w:tcPr>
            <w:tcW w:w="695" w:type="dxa"/>
            <w:noWrap/>
            <w:hideMark/>
          </w:tcPr>
          <w:p w14:paraId="5C1BBCD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21-32</w:t>
            </w:r>
          </w:p>
        </w:tc>
        <w:tc>
          <w:tcPr>
            <w:tcW w:w="1907" w:type="dxa"/>
            <w:noWrap/>
            <w:hideMark/>
          </w:tcPr>
          <w:p w14:paraId="2F27D068"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Sentences</w:t>
            </w:r>
          </w:p>
        </w:tc>
        <w:tc>
          <w:tcPr>
            <w:tcW w:w="445" w:type="dxa"/>
            <w:noWrap/>
            <w:hideMark/>
          </w:tcPr>
          <w:p w14:paraId="2572F2E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7</w:t>
            </w:r>
          </w:p>
        </w:tc>
        <w:tc>
          <w:tcPr>
            <w:tcW w:w="1681" w:type="dxa"/>
            <w:noWrap/>
            <w:hideMark/>
          </w:tcPr>
          <w:p w14:paraId="45DC9E6B"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3T </w:t>
            </w:r>
            <w:proofErr w:type="spellStart"/>
            <w:r w:rsidRPr="00101744">
              <w:rPr>
                <w:rFonts w:ascii="Arial" w:eastAsia="Times New Roman" w:hAnsi="Arial" w:cs="Arial"/>
                <w:color w:val="000000"/>
                <w:sz w:val="18"/>
                <w:szCs w:val="18"/>
                <w:lang w:val="en-US" w:eastAsia="pt-PT"/>
              </w:rPr>
              <w:t>MedSpec</w:t>
            </w:r>
            <w:proofErr w:type="spellEnd"/>
            <w:r w:rsidRPr="00101744">
              <w:rPr>
                <w:rFonts w:ascii="Arial" w:eastAsia="Times New Roman" w:hAnsi="Arial" w:cs="Arial"/>
                <w:color w:val="000000"/>
                <w:sz w:val="18"/>
                <w:szCs w:val="18"/>
                <w:lang w:val="en-US" w:eastAsia="pt-PT"/>
              </w:rPr>
              <w:t xml:space="preserve"> Bruker</w:t>
            </w:r>
          </w:p>
        </w:tc>
        <w:tc>
          <w:tcPr>
            <w:tcW w:w="1547" w:type="dxa"/>
            <w:noWrap/>
            <w:hideMark/>
          </w:tcPr>
          <w:p w14:paraId="3BB6524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LIPSIA</w:t>
            </w:r>
          </w:p>
        </w:tc>
        <w:tc>
          <w:tcPr>
            <w:tcW w:w="1855" w:type="dxa"/>
            <w:noWrap/>
            <w:hideMark/>
          </w:tcPr>
          <w:p w14:paraId="5C802F3C"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3CA0F3C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6" w:type="dxa"/>
            <w:noWrap/>
            <w:hideMark/>
          </w:tcPr>
          <w:p w14:paraId="05B4F11D" w14:textId="77777777" w:rsidR="003D1F45" w:rsidRPr="00101744" w:rsidRDefault="003D1F45" w:rsidP="00B60BB2">
            <w:pPr>
              <w:jc w:val="center"/>
              <w:rPr>
                <w:rFonts w:ascii="Arial" w:eastAsia="Times New Roman" w:hAnsi="Arial" w:cs="Arial"/>
                <w:color w:val="000000"/>
                <w:sz w:val="18"/>
                <w:szCs w:val="18"/>
                <w:lang w:val="en-US" w:eastAsia="pt-PT"/>
              </w:rPr>
            </w:pPr>
          </w:p>
        </w:tc>
      </w:tr>
      <w:tr w:rsidR="003D1F45" w:rsidRPr="00101744" w14:paraId="6E74605B" w14:textId="77777777" w:rsidTr="00B60BB2">
        <w:trPr>
          <w:trHeight w:val="300"/>
        </w:trPr>
        <w:tc>
          <w:tcPr>
            <w:tcW w:w="2269" w:type="dxa"/>
            <w:noWrap/>
            <w:vAlign w:val="center"/>
            <w:hideMark/>
          </w:tcPr>
          <w:p w14:paraId="57586185" w14:textId="5EAB7ABF"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{"citationItems":[{"id":"ITEM-1","itemData":{"DOI":"10.1371/journal.pone.0100552","ISSN":"1932-6203","PMID":"25058010","abstract":"Although the neural systems supporting single word reading are well studied, there are limited direct comparisons between typical and dyslexic readers of the neural correlates of reading fluency. Reading fluency deficits are a persistent behavioral marker of dyslexia into adulthood. The current study identified the neural correlates of fluent reading in typical and dyslexic adult readers, using sentences presented in a word-by-word format in which single words were presented sequentially at fixed rates. Sentences were presented at slow, medium, and fast rates, and participants were asked to decide whether each sentence did or did not make sense semantically. As presentation rates increased, participants became less accurate and slower at making judgments, with comprehension accuracy decreasing disproportionately for dyslexic readers. In-scanner performance on the sentence task correlated significantly with standardized clinical measures of both reading fluency and phonological awareness. Both typical readers and readers with dyslexia exhibited widespread, bilateral increases in activation that corresponded to increases in presentation rate. Typical readers exhibited significantly larger gains in activation as a function of faster</w:instrText>
            </w:r>
            <w:r w:rsidR="00C14016">
              <w:rPr>
                <w:rFonts w:ascii="Arial" w:hAnsi="Arial" w:cs="Arial"/>
                <w:color w:val="000000"/>
                <w:sz w:val="18"/>
                <w:szCs w:val="18"/>
                <w:lang w:eastAsia="pt-PT"/>
              </w:rPr>
              <w:instrText xml:space="preserve"> presentation rates than readers with dyslexia in several areas, including left prefrontal and left superior temporal regions associated with semantic retrieval and semantic and phonological representations. Group differences were more extensive when behavioral differences between conditions were equated across groups. These findings suggest a brain basis for impaired reading fluency in dyslexia, specifically a failure of brain regions involved in semantic retrieval and semantic and phonological representations to become fully engaged for comprehension at rapid reading rates.","author":[{"dropping-particle":"","family":"Christodoulou","given":"Joanna A.","non-dropping-particle":"","parse-names":false,"suffix":""},{"dropping-particle":"","family":"Tufo","given":"Stephanie N.","non-dropping-particle":"Del","parse-names":false,"suffix":""},{"dropping</w:instrText>
            </w:r>
            <w:r w:rsidR="00C14016" w:rsidRPr="00C14016">
              <w:rPr>
                <w:rFonts w:ascii="Arial" w:hAnsi="Arial" w:cs="Arial"/>
                <w:color w:val="000000"/>
                <w:sz w:val="18"/>
                <w:szCs w:val="18"/>
                <w:lang w:val="en-GB" w:eastAsia="pt-PT"/>
              </w:rPr>
              <w:instrText>-particle":"","family":"Lymberis","given":"John","non-dropping-particle":"","parse-names":false,"suffix":""},{"dropping-particle":"","family":"Saxler","given":"Patricia K.","non-dropping-particle":"","parse-names":false,"suffix":""},{"dropping-particle":"","family":"Ghosh","given":"Satrajit S.","non-dropping-particle":"","parse-names":false,"suffix":""},{"dropping-particle":"","family":"Triantafyllou","given":"Christina","non-dropping-particle":"","parse-names":false,"suffix":""},{"dropping-particle":"","family":"Whitfield-Gabrieli","given":"Susan","non-dropping-particle":"","parse-names":false,"suffix":""},{"dropping-particle":"","family":"Gabrieli","given":"John D. E.","non-dropping-particle":"","parse-names":false,"suffix":""}],"container-title":"PLoS ONE","editor":[{"dropping-particle":"","family":"Ward","given":"Lawrence M.","non-dropping-particle":"","parse-names":false,"suffix":""}],"id":"ITEM-1","issue":"7","issued":{"date-parts":[["2014","7","24"]]},"page":"e100552","title":"Brain Bases of Reading Fluency in Typical Reading and Impaired Fluency in Dyslexia","type":"article-journal","volume":"9"},"uris":["http://www.mendeley.com/documents/?uuid=447dddd5-24df-3dc8-aa8f-0ddf98cd4ae4"]}],"mendeley":{"formattedCitation":"(Christodoulou et al. 2014)","plainTextFormattedCitation":"(Christodoulou et al. 2014)","previouslyFormattedCitation":"&lt;sup&gt;44&lt;/sup&gt;"},"properties":{"noteIndex":0},"schema":"https://github.com/citation-style-language/schema/raw/master/csl-citation.json"}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(Christodoulou et al. 2014)</w:t>
            </w:r>
            <w:r w:rsidRPr="00101744">
              <w:rPr>
                <w:rFonts w:ascii="Arial" w:eastAsia="Times New Roman" w:hAnsi="Arial" w:cs="Arial"/>
                <w:color w:val="000000"/>
                <w:sz w:val="18"/>
                <w:szCs w:val="18"/>
                <w:lang w:val="en-US" w:eastAsia="pt-PT"/>
              </w:rPr>
              <w:fldChar w:fldCharType="end"/>
            </w:r>
          </w:p>
        </w:tc>
        <w:tc>
          <w:tcPr>
            <w:tcW w:w="709" w:type="dxa"/>
            <w:noWrap/>
            <w:hideMark/>
          </w:tcPr>
          <w:p w14:paraId="74A215C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092AC47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7</w:t>
            </w:r>
          </w:p>
        </w:tc>
        <w:tc>
          <w:tcPr>
            <w:tcW w:w="517" w:type="dxa"/>
            <w:noWrap/>
            <w:hideMark/>
          </w:tcPr>
          <w:p w14:paraId="48C0F50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w:t>
            </w:r>
          </w:p>
        </w:tc>
        <w:tc>
          <w:tcPr>
            <w:tcW w:w="767" w:type="dxa"/>
            <w:noWrap/>
            <w:hideMark/>
          </w:tcPr>
          <w:p w14:paraId="2D84226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22</w:t>
            </w:r>
          </w:p>
        </w:tc>
        <w:tc>
          <w:tcPr>
            <w:tcW w:w="695" w:type="dxa"/>
            <w:noWrap/>
            <w:hideMark/>
          </w:tcPr>
          <w:p w14:paraId="4128604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18-28</w:t>
            </w:r>
          </w:p>
        </w:tc>
        <w:tc>
          <w:tcPr>
            <w:tcW w:w="1907" w:type="dxa"/>
            <w:noWrap/>
            <w:hideMark/>
          </w:tcPr>
          <w:p w14:paraId="45022044"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fluency task</w:t>
            </w:r>
          </w:p>
        </w:tc>
        <w:tc>
          <w:tcPr>
            <w:tcW w:w="445" w:type="dxa"/>
            <w:noWrap/>
            <w:hideMark/>
          </w:tcPr>
          <w:p w14:paraId="7D9CAB7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21</w:t>
            </w:r>
          </w:p>
        </w:tc>
        <w:tc>
          <w:tcPr>
            <w:tcW w:w="1681" w:type="dxa"/>
            <w:noWrap/>
            <w:hideMark/>
          </w:tcPr>
          <w:p w14:paraId="7E69E69D"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3T </w:t>
            </w:r>
            <w:proofErr w:type="spellStart"/>
            <w:r w:rsidRPr="00101744">
              <w:rPr>
                <w:rFonts w:ascii="Arial" w:eastAsia="Times New Roman" w:hAnsi="Arial" w:cs="Arial"/>
                <w:color w:val="000000"/>
                <w:sz w:val="18"/>
                <w:szCs w:val="18"/>
                <w:lang w:val="en-US" w:eastAsia="pt-PT"/>
              </w:rPr>
              <w:t>Magnetom</w:t>
            </w:r>
            <w:proofErr w:type="spellEnd"/>
            <w:r w:rsidRPr="00101744">
              <w:rPr>
                <w:rFonts w:ascii="Arial" w:eastAsia="Times New Roman" w:hAnsi="Arial" w:cs="Arial"/>
                <w:color w:val="000000"/>
                <w:sz w:val="18"/>
                <w:szCs w:val="18"/>
                <w:lang w:val="en-US" w:eastAsia="pt-PT"/>
              </w:rPr>
              <w:t xml:space="preserve"> Siemens</w:t>
            </w:r>
          </w:p>
        </w:tc>
        <w:tc>
          <w:tcPr>
            <w:tcW w:w="1547" w:type="dxa"/>
            <w:noWrap/>
            <w:hideMark/>
          </w:tcPr>
          <w:p w14:paraId="3FC109D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SPM8</w:t>
            </w:r>
          </w:p>
        </w:tc>
        <w:tc>
          <w:tcPr>
            <w:tcW w:w="1855" w:type="dxa"/>
            <w:noWrap/>
            <w:hideMark/>
          </w:tcPr>
          <w:p w14:paraId="6BA3AA9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P(FDR)&lt;0.001</w:t>
            </w:r>
          </w:p>
        </w:tc>
        <w:tc>
          <w:tcPr>
            <w:tcW w:w="717" w:type="dxa"/>
            <w:noWrap/>
            <w:hideMark/>
          </w:tcPr>
          <w:p w14:paraId="00D3434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6" w:type="dxa"/>
            <w:noWrap/>
            <w:hideMark/>
          </w:tcPr>
          <w:p w14:paraId="43C8190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3.1</w:t>
            </w:r>
          </w:p>
        </w:tc>
      </w:tr>
      <w:tr w:rsidR="003D1F45" w:rsidRPr="00101744" w14:paraId="3FAE515A" w14:textId="77777777" w:rsidTr="00B60BB2">
        <w:trPr>
          <w:trHeight w:val="300"/>
        </w:trPr>
        <w:tc>
          <w:tcPr>
            <w:tcW w:w="2269" w:type="dxa"/>
            <w:noWrap/>
            <w:vAlign w:val="center"/>
            <w:hideMark/>
          </w:tcPr>
          <w:p w14:paraId="01A16751" w14:textId="39BD7022"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{"citationItems":[{"id":"ITEM-1","itemData":{"DOI":"10.1016/j.neuroimage.2015.01.024","ISSN":"10538119","PMID":"25595501","abstract":"The neural mechanisms underlying stuttering are not well understood. It is known that stuttering appears when persons who stutter speak in a self-paced manner, but speech fluency is temporarily increased when they speak in unison with external trigger such as a metronome. This phenomenon is very similar to the behavioral improvement by external pacing in patients with Parkinson's disease. Recent imaging studies have also suggested that the basal ganglia are involved in the etiology of stuttering. In addition, previous studies have shown that the basal ganglia are involved in self-paced movement. Then, the present study focused on the basal ganglia and explored whether long-term speech-practice using external triggers can induce modification of the basal ganglia activity of stuttering speakers. Our study of functional magnetic resonance imaging revealed that stuttering speakers possessed significantly lower activity in the basal ganglia than fluent speakers before practice, especially when their speech was self-paced. After an 8-week speech practice of externally triggered speech using a metronome, the significant difference in activity between the two groups disappeared. The cerebellar vermis of stuttering spe</w:instrText>
            </w:r>
            <w:r w:rsidR="00C14016">
              <w:rPr>
                <w:rFonts w:ascii="Arial" w:hAnsi="Arial" w:cs="Arial"/>
                <w:color w:val="000000"/>
                <w:sz w:val="18"/>
                <w:szCs w:val="18"/>
                <w:lang w:eastAsia="pt-PT"/>
              </w:rPr>
              <w:instrText>akers showed significantly decreased activity during the self-paced speech in the second compared to the first experiment. The speech fluency and naturalness of the stuttering speakers were also improved. These results suggest that stuttering is associated with defective motor control during self-paced speech, and that the basal ganglia and the cerebellum are involved in an improvement of speech fluency of stuttering by the use of external trigger.","author":[{"dropping-particle":"","family":"Toyomura","given":"Akira","non-dropping-particle":"","parse-names":false,"suffix":""},{"dropping-particle":"","family":"Fujii","given":"Tetsunoshin","non-dropping-particle":"","parse-names":false,"suffix":""},{"dropping-particle":"","family":"Kuriki","given":"Shinya","non-dropping-particle":"","parse-names":false,"suffix":""}],"container-title":"NeuroImage","id":"ITEM-1","issued":{"date-parts":[["2015","4","1"]]},"page":"458-468","title":"Effect of an 8-week practice of externally triggered speech on basal ganglia activity of stuttering and fluent speakers","type":"article-journal","volume":"109"},"uris":["http://www.mendeley.com/documents/?uuid=bbeb3601-f9b2-34dd-831b-be6a66aed9e1"]}],"mendeley":{"formattedCitation":"(Toyomura, Fujii, and Kuriki 2015)","plainTextFormattedCitation":"(Toyomura, Fujii, and Kuriki 2015)","previouslyFormattedCitation":"&lt;sup&gt;45&lt;/sup&gt;"},"properties":{"noteIndex":0},"schema":"https://github.com/citation-style-language/schema/raw/master/csl-citation.json"}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(Toyomura, Fujii, and Kuriki 2015)</w:t>
            </w:r>
            <w:r w:rsidRPr="00101744">
              <w:rPr>
                <w:rFonts w:ascii="Arial" w:eastAsia="Times New Roman" w:hAnsi="Arial" w:cs="Arial"/>
                <w:color w:val="000000"/>
                <w:sz w:val="18"/>
                <w:szCs w:val="18"/>
                <w:lang w:val="en-US" w:eastAsia="pt-PT"/>
              </w:rPr>
              <w:fldChar w:fldCharType="end"/>
            </w:r>
          </w:p>
        </w:tc>
        <w:tc>
          <w:tcPr>
            <w:tcW w:w="709" w:type="dxa"/>
            <w:noWrap/>
            <w:hideMark/>
          </w:tcPr>
          <w:p w14:paraId="2805436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c>
          <w:tcPr>
            <w:tcW w:w="650" w:type="dxa"/>
            <w:noWrap/>
            <w:hideMark/>
          </w:tcPr>
          <w:p w14:paraId="6CF78A0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c>
          <w:tcPr>
            <w:tcW w:w="517" w:type="dxa"/>
            <w:noWrap/>
            <w:hideMark/>
          </w:tcPr>
          <w:p w14:paraId="6F76278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0</w:t>
            </w:r>
          </w:p>
        </w:tc>
        <w:tc>
          <w:tcPr>
            <w:tcW w:w="767" w:type="dxa"/>
            <w:noWrap/>
            <w:hideMark/>
          </w:tcPr>
          <w:p w14:paraId="22D87D6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25</w:t>
            </w:r>
          </w:p>
        </w:tc>
        <w:tc>
          <w:tcPr>
            <w:tcW w:w="695" w:type="dxa"/>
            <w:noWrap/>
            <w:hideMark/>
          </w:tcPr>
          <w:p w14:paraId="6650AEC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22-33</w:t>
            </w:r>
          </w:p>
        </w:tc>
        <w:tc>
          <w:tcPr>
            <w:tcW w:w="1907" w:type="dxa"/>
            <w:noWrap/>
            <w:hideMark/>
          </w:tcPr>
          <w:p w14:paraId="404D6BD2"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(overt)</w:t>
            </w:r>
          </w:p>
        </w:tc>
        <w:tc>
          <w:tcPr>
            <w:tcW w:w="445" w:type="dxa"/>
            <w:noWrap/>
            <w:hideMark/>
          </w:tcPr>
          <w:p w14:paraId="752E303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18</w:t>
            </w:r>
          </w:p>
        </w:tc>
        <w:tc>
          <w:tcPr>
            <w:tcW w:w="1681" w:type="dxa"/>
            <w:noWrap/>
            <w:hideMark/>
          </w:tcPr>
          <w:p w14:paraId="07FD1237"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1.5T </w:t>
            </w:r>
            <w:proofErr w:type="spellStart"/>
            <w:r w:rsidRPr="00101744">
              <w:rPr>
                <w:rFonts w:ascii="Arial" w:eastAsia="Times New Roman" w:hAnsi="Arial" w:cs="Arial"/>
                <w:color w:val="000000"/>
                <w:sz w:val="18"/>
                <w:szCs w:val="18"/>
                <w:lang w:val="en-US" w:eastAsia="pt-PT"/>
              </w:rPr>
              <w:t>Signa</w:t>
            </w:r>
            <w:proofErr w:type="spellEnd"/>
            <w:r w:rsidRPr="00101744">
              <w:rPr>
                <w:rFonts w:ascii="Arial" w:eastAsia="Times New Roman" w:hAnsi="Arial" w:cs="Arial"/>
                <w:color w:val="000000"/>
                <w:sz w:val="18"/>
                <w:szCs w:val="18"/>
                <w:lang w:val="en-US" w:eastAsia="pt-PT"/>
              </w:rPr>
              <w:t xml:space="preserve"> GE</w:t>
            </w:r>
          </w:p>
        </w:tc>
        <w:tc>
          <w:tcPr>
            <w:tcW w:w="1547" w:type="dxa"/>
            <w:noWrap/>
            <w:hideMark/>
          </w:tcPr>
          <w:p w14:paraId="12B0864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SPM8</w:t>
            </w:r>
          </w:p>
        </w:tc>
        <w:tc>
          <w:tcPr>
            <w:tcW w:w="1855" w:type="dxa"/>
            <w:noWrap/>
            <w:hideMark/>
          </w:tcPr>
          <w:p w14:paraId="191AF68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P(FWE)&lt;0.05</w:t>
            </w:r>
          </w:p>
        </w:tc>
        <w:tc>
          <w:tcPr>
            <w:tcW w:w="717" w:type="dxa"/>
            <w:noWrap/>
            <w:hideMark/>
          </w:tcPr>
          <w:p w14:paraId="3A716CF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3000</w:t>
            </w:r>
          </w:p>
        </w:tc>
        <w:tc>
          <w:tcPr>
            <w:tcW w:w="1146" w:type="dxa"/>
            <w:noWrap/>
            <w:hideMark/>
          </w:tcPr>
          <w:p w14:paraId="2C6F2A1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w:t>
            </w:r>
          </w:p>
        </w:tc>
      </w:tr>
      <w:tr w:rsidR="003D1F45" w:rsidRPr="00101744" w14:paraId="03002574" w14:textId="77777777" w:rsidTr="00B60BB2">
        <w:trPr>
          <w:trHeight w:val="300"/>
        </w:trPr>
        <w:tc>
          <w:tcPr>
            <w:tcW w:w="2269" w:type="dxa"/>
            <w:noWrap/>
            <w:vAlign w:val="center"/>
          </w:tcPr>
          <w:p w14:paraId="1D73CEDA" w14:textId="3B4822D2"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{"citationItems":[{"id":"ITEM-1","itemData":{"DOI":"10.1016/S1053-8119(02)91244-9","ISBN":"1053-8119 (Print)\\r1053-8119 (Linking)","ISSN":"10538119","PMID":"12377158","abstract":"We report a random-effects analysis of an event-related fMRI study (n = 28) of cerebral activity during the reading of sentences that ended with a word that was either congruent or incongruent with the previous sentence context. Event-related potential studies have shown that this task elicits a late negativity peaking around 400 ms poststimulus (N400) that is larger for incongruent than for congruent sentence endings. A direct comparison of the activation for incongruent words versus that for congruent words revealed significantly greater activation for incongruent words than congruent words in bilateral inferior frontal and inferio-medial temporal cortex, left lateral frontal cortex, left posterior fusiform gyrus, bilateral motor cortex, and supplementary motor area. These results are consistent with data from intracranial electrical recording studies of the N400 electrical potential. The results are discussed as they relate to the localization of the cerebral sites underlying semantic processing in general and the localization of the scalp recorded N400 event-related potential in particular. © 2002 Elsevier Science (USA).","author":[{"dropping-particle":"","family":"Kiehl","given":"Kent A","non-dropping-particle":"","parse-names":false,"suffix":""},{"dropping-particle":"","family":"Laurens","given":"Kristin R","non-dropping-particle":"","parse-names":false,"suffix":""},{"dropping-particle":"","family":"Liddle","given":"Peter F","non-dropping-particle":"","parse-names":false,"suffix":""}],"container-title":"NeuroImage","id":"ITEM-1","issue":"2","issued":{"date-parts":[["2002","10"]]},"page":"842-850","title":"Reading anomalous sentences: An event-related fMRI study of semantic processing","type":"article-journal","volume":"17"},"uris":["http://www.mendeley.com/documents/?uuid=1711a9c7-b584-32df-9bb9-447a0accca8d"]}],"mendeley":{"formattedCitation":"(Kiehl, Laurens, and Liddle 2002)","plainTextFormattedCitation":"(Kiehl, Laurens, and Liddle 2002)","previouslyFormattedCitation":"&lt;sup&gt;46&lt;/sup&gt;"},"properties":{"noteIndex":0},"schema":"https://github.com/citation-style-language/schema/raw/master/csl-citation.json"}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(Kiehl, Laurens, and Liddle 2002)</w:t>
            </w:r>
            <w:r w:rsidRPr="00101744">
              <w:rPr>
                <w:rFonts w:ascii="Arial" w:eastAsia="Times New Roman" w:hAnsi="Arial" w:cs="Arial"/>
                <w:color w:val="000000"/>
                <w:sz w:val="18"/>
                <w:szCs w:val="18"/>
                <w:lang w:val="en-US" w:eastAsia="pt-PT"/>
              </w:rPr>
              <w:fldChar w:fldCharType="end"/>
            </w:r>
          </w:p>
        </w:tc>
        <w:tc>
          <w:tcPr>
            <w:tcW w:w="709" w:type="dxa"/>
            <w:noWrap/>
            <w:hideMark/>
          </w:tcPr>
          <w:p w14:paraId="7ED33CE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28</w:t>
            </w:r>
          </w:p>
        </w:tc>
        <w:tc>
          <w:tcPr>
            <w:tcW w:w="650" w:type="dxa"/>
            <w:noWrap/>
            <w:hideMark/>
          </w:tcPr>
          <w:p w14:paraId="08D4ADE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14</w:t>
            </w:r>
          </w:p>
        </w:tc>
        <w:tc>
          <w:tcPr>
            <w:tcW w:w="517" w:type="dxa"/>
            <w:noWrap/>
            <w:hideMark/>
          </w:tcPr>
          <w:p w14:paraId="622163E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14</w:t>
            </w:r>
          </w:p>
        </w:tc>
        <w:tc>
          <w:tcPr>
            <w:tcW w:w="767" w:type="dxa"/>
            <w:noWrap/>
            <w:hideMark/>
          </w:tcPr>
          <w:p w14:paraId="3602194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25</w:t>
            </w:r>
          </w:p>
        </w:tc>
        <w:tc>
          <w:tcPr>
            <w:tcW w:w="695" w:type="dxa"/>
            <w:noWrap/>
            <w:hideMark/>
          </w:tcPr>
          <w:p w14:paraId="09900DB6"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907" w:type="dxa"/>
            <w:noWrap/>
            <w:hideMark/>
          </w:tcPr>
          <w:p w14:paraId="766AC7F2"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Sentences</w:t>
            </w:r>
          </w:p>
        </w:tc>
        <w:tc>
          <w:tcPr>
            <w:tcW w:w="445" w:type="dxa"/>
            <w:noWrap/>
            <w:hideMark/>
          </w:tcPr>
          <w:p w14:paraId="79857E0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1681" w:type="dxa"/>
            <w:noWrap/>
            <w:hideMark/>
          </w:tcPr>
          <w:p w14:paraId="1140E122"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1.5T Horizon GE</w:t>
            </w:r>
          </w:p>
        </w:tc>
        <w:tc>
          <w:tcPr>
            <w:tcW w:w="1547" w:type="dxa"/>
            <w:noWrap/>
            <w:hideMark/>
          </w:tcPr>
          <w:p w14:paraId="0109A24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69A452B7"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717" w:type="dxa"/>
            <w:noWrap/>
            <w:hideMark/>
          </w:tcPr>
          <w:p w14:paraId="6006222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3000</w:t>
            </w:r>
          </w:p>
        </w:tc>
        <w:tc>
          <w:tcPr>
            <w:tcW w:w="1146" w:type="dxa"/>
            <w:noWrap/>
            <w:hideMark/>
          </w:tcPr>
          <w:p w14:paraId="6659182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3.75</w:t>
            </w:r>
          </w:p>
        </w:tc>
      </w:tr>
      <w:tr w:rsidR="003D1F45" w:rsidRPr="00101744" w14:paraId="61B7CD86" w14:textId="77777777" w:rsidTr="00B60BB2">
        <w:trPr>
          <w:trHeight w:val="300"/>
        </w:trPr>
        <w:tc>
          <w:tcPr>
            <w:tcW w:w="2269" w:type="dxa"/>
            <w:noWrap/>
            <w:vAlign w:val="center"/>
          </w:tcPr>
          <w:p w14:paraId="37A976BB" w14:textId="1862F0A5"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{"citationItems":[{"id":"ITEM-1","itemData":{"DOI":"10.1111/j.1460-9568.2007.05816.x","ISSN":"0953816X","PMID":"17897404","abstract":"Written language comprehension at the word and the sentence level was analysed by the combination of spatial and temporal analysis of functional magnetic resonance imaging (fMRI). Spatial analysis was performed via general linear modelling (GLM). Concerning the temporal analysis, local differences in neurovascular coupling may confound a direct comparison of blood oxygenation level-dependent (BOLD) response estimates between regions. To avoid this problem, we parametrically varied linguistic task demands and compared only task-induced within-region BOLD response differences across areas. We reasoned that, in a hierarchical processing system, increasing task demands at lower processing levels induce delayed onset of higher-level processes in corresponding areas. The flow of activation is thus reflected in the size of task-induced delay increases. We estimated BOLD response delay and duration for each voxel and each participant by fitting a model function to the event-related average BOLD response. The GLM showed increasing activations with increasing linguistic demands dominantly in the left inferior frontal gyrus (IFG) and the left superior temporal gyrus (STG). The combination of spatial and temporal analysis allowed a functional differentiation of IFG subregions involved in written language comprehension. Ventral IFG region (BA 47) and STG subserve earlier processing stages than two dorsal</w:instrText>
            </w:r>
            <w:r w:rsidR="00C14016" w:rsidRPr="00C14016">
              <w:rPr>
                <w:rFonts w:ascii="Arial" w:hAnsi="Arial" w:cs="Arial"/>
                <w:color w:val="000000"/>
                <w:sz w:val="18"/>
                <w:szCs w:val="18"/>
                <w:lang w:val="en-GB" w:eastAsia="pt-PT"/>
              </w:rPr>
              <w:instrText xml:space="preserve"> IFG regions (BA 44 and 45). This is in accordance with the assumed early lexical semantic and late syntactic processing of these regions and illustrates the complementary information provided by spatial and temporal fMRI data analysis of the same data set.","author":[{"dropping-particle":"","family":"Haller","given":"Sven","non-dropping-particle":"","parse-names":false,"suffix":""},{"dropping-particle":"","family":"Klarhoefer","given":"Markus","non-dropping-particle":"","parse-names":false,"suffix":""},{"dropping-particle":"","family":"Schwarzbach","given":"Jens","non-dropping-particle":"","parse-names":false,"suffix":""},{"dropping-particle":"","family":"Radue","given":"Ernst W.","non-dropping-particle":"","parse-names":false,"suffix":""},{"dropping-particle":"","family":"Indefrey","given":"Peter","non-dropping-particle":"","parse-names":false,"suffix":""}],"container-title":"European Journal of Neuroscience","id":"ITEM-1","issue":"7","issued":{"date-parts":[["2007","9","25"]]},"page":"2074-2084","title":"Spatial and temporal analysis of fMRI data on word and sentence reading","type":"article-journal","volume":"26"},"uris":["http://www.mendeley.com/documents/?uuid=08d14a82-6bd2-399c-881b-ed42338ae0d2"]}],"mendeley":{"formattedCitation":"(Haller et al. 2007)","plainTextFormattedCitation":"(Haller et al. 2007)","previouslyFormattedCitation":"&lt;sup&gt;47&lt;/sup&gt;"},"properties":{"noteIndex":0},"schema":"https://github.com/citation-style-language/schema/raw/master/csl-citation.json"}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(Haller et al. 2007)</w:t>
            </w:r>
            <w:r w:rsidRPr="00101744">
              <w:rPr>
                <w:rFonts w:ascii="Arial" w:eastAsia="Times New Roman" w:hAnsi="Arial" w:cs="Arial"/>
                <w:color w:val="000000"/>
                <w:sz w:val="18"/>
                <w:szCs w:val="18"/>
                <w:lang w:val="en-US" w:eastAsia="pt-PT"/>
              </w:rPr>
              <w:fldChar w:fldCharType="end"/>
            </w:r>
          </w:p>
        </w:tc>
        <w:tc>
          <w:tcPr>
            <w:tcW w:w="709" w:type="dxa"/>
            <w:noWrap/>
            <w:hideMark/>
          </w:tcPr>
          <w:p w14:paraId="7B3CC87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16</w:t>
            </w:r>
          </w:p>
        </w:tc>
        <w:tc>
          <w:tcPr>
            <w:tcW w:w="650" w:type="dxa"/>
            <w:noWrap/>
            <w:hideMark/>
          </w:tcPr>
          <w:p w14:paraId="65E44B1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517" w:type="dxa"/>
            <w:noWrap/>
            <w:hideMark/>
          </w:tcPr>
          <w:p w14:paraId="02225A0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767" w:type="dxa"/>
            <w:noWrap/>
            <w:hideMark/>
          </w:tcPr>
          <w:p w14:paraId="7AE369E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28</w:t>
            </w:r>
          </w:p>
        </w:tc>
        <w:tc>
          <w:tcPr>
            <w:tcW w:w="695" w:type="dxa"/>
            <w:noWrap/>
            <w:hideMark/>
          </w:tcPr>
          <w:p w14:paraId="0162635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21-39</w:t>
            </w:r>
          </w:p>
        </w:tc>
        <w:tc>
          <w:tcPr>
            <w:tcW w:w="1907" w:type="dxa"/>
            <w:noWrap/>
            <w:hideMark/>
          </w:tcPr>
          <w:p w14:paraId="368ACA37"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words</w:t>
            </w:r>
          </w:p>
        </w:tc>
        <w:tc>
          <w:tcPr>
            <w:tcW w:w="445" w:type="dxa"/>
            <w:noWrap/>
            <w:hideMark/>
          </w:tcPr>
          <w:p w14:paraId="057C7B4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14</w:t>
            </w:r>
          </w:p>
        </w:tc>
        <w:tc>
          <w:tcPr>
            <w:tcW w:w="1681" w:type="dxa"/>
            <w:noWrap/>
            <w:hideMark/>
          </w:tcPr>
          <w:p w14:paraId="1390E7F9"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1.5T </w:t>
            </w:r>
            <w:proofErr w:type="spellStart"/>
            <w:r w:rsidRPr="00101744">
              <w:rPr>
                <w:rFonts w:ascii="Arial" w:eastAsia="Times New Roman" w:hAnsi="Arial" w:cs="Arial"/>
                <w:color w:val="000000"/>
                <w:sz w:val="18"/>
                <w:szCs w:val="18"/>
                <w:lang w:val="en-US" w:eastAsia="pt-PT"/>
              </w:rPr>
              <w:t>Shymphony</w:t>
            </w:r>
            <w:proofErr w:type="spellEnd"/>
            <w:r w:rsidRPr="00101744">
              <w:rPr>
                <w:rFonts w:ascii="Arial" w:eastAsia="Times New Roman" w:hAnsi="Arial" w:cs="Arial"/>
                <w:color w:val="000000"/>
                <w:sz w:val="18"/>
                <w:szCs w:val="18"/>
                <w:lang w:val="en-US" w:eastAsia="pt-PT"/>
              </w:rPr>
              <w:t xml:space="preserve"> Siemens</w:t>
            </w:r>
          </w:p>
        </w:tc>
        <w:tc>
          <w:tcPr>
            <w:tcW w:w="1547" w:type="dxa"/>
            <w:noWrap/>
            <w:hideMark/>
          </w:tcPr>
          <w:p w14:paraId="391FE4E5"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Brainvoyager</w:t>
            </w:r>
            <w:proofErr w:type="spellEnd"/>
          </w:p>
        </w:tc>
        <w:tc>
          <w:tcPr>
            <w:tcW w:w="1855" w:type="dxa"/>
            <w:noWrap/>
            <w:hideMark/>
          </w:tcPr>
          <w:p w14:paraId="179CE9D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P(FDR)&lt;0.0001</w:t>
            </w:r>
          </w:p>
        </w:tc>
        <w:tc>
          <w:tcPr>
            <w:tcW w:w="717" w:type="dxa"/>
            <w:noWrap/>
            <w:hideMark/>
          </w:tcPr>
          <w:p w14:paraId="79C32C2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3000</w:t>
            </w:r>
          </w:p>
        </w:tc>
        <w:tc>
          <w:tcPr>
            <w:tcW w:w="1146" w:type="dxa"/>
            <w:noWrap/>
            <w:hideMark/>
          </w:tcPr>
          <w:p w14:paraId="4F82A31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r>
      <w:tr w:rsidR="003D1F45" w:rsidRPr="00101744" w14:paraId="2C1334F0" w14:textId="77777777" w:rsidTr="00B60BB2">
        <w:trPr>
          <w:trHeight w:val="300"/>
        </w:trPr>
        <w:tc>
          <w:tcPr>
            <w:tcW w:w="2269" w:type="dxa"/>
            <w:noWrap/>
            <w:vAlign w:val="center"/>
            <w:hideMark/>
          </w:tcPr>
          <w:p w14:paraId="6354668B" w14:textId="34DD5FD0"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{"citationItems":[{"id":"ITEM-1","itemData":{"DOI":"10.1177/1476127006074389","ISBN":"1476-1270","ISSN":"14761270","PMID":"11339984","abstract":"While strategy and organizational researchers increasingly recognize that observers' perceptions and beliefs about fir'ms have a 5IJbstart~ effect on firms' access to reSOurces and performance, the processes through which these perceptions form are not well understood. To address this Cjl,lestion, we examined how three new firms ~ AmatOn.com. bam~sandnoble.(om and CDNow - that entered the emerging (il-commerce domain in the mid-1990s buitt their' initial reputations In the mC!!dia. Given the limited theory and . empirical evidence about the process of reputation accvrnulation by new firms in emerging markets. we used the case study method to develop inductlvely a model that relates the visible extemal actions of the three firms to the patterns of media coverage they ac:cumulat~. Pattems of media coverage are likely to both reflect and affect the process of reput3tion accumulation. as the media constitute an influential audience of critics, who first form their own pel'1:eptions and opinions. thereby refiectlng the process of reput~ion aCCUrnl,llation, and then disseminate these perceptions and opinions to the public, thereby influencing the perceptions and opinions of other stakehold~ audiences. Our ana</w:instrText>
            </w:r>
            <w:r w:rsidR="00C14016">
              <w:rPr>
                <w:rFonts w:ascii="Arial" w:hAnsi="Arial" w:cs="Arial"/>
                <w:color w:val="000000"/>
                <w:sz w:val="18"/>
                <w:szCs w:val="18"/>
                <w:lang w:eastAsia="pt-PT"/>
              </w:rPr>
              <w:instrText>lysis indi· artes thn the pattern of market actions of nfNll firms influences the pattem of media eeNerage they receive in terms of levels (visibility), conten</w:instrText>
            </w:r>
            <w:r w:rsidR="00C14016" w:rsidRPr="00C14016">
              <w:rPr>
                <w:rFonts w:ascii="Arial" w:hAnsi="Arial" w:cs="Arial"/>
                <w:color w:val="000000"/>
                <w:sz w:val="18"/>
                <w:szCs w:val="18"/>
                <w:lang w:val="en-GB" w:eastAsia="pt-PT"/>
              </w:rPr>
              <w:instrText>t (strategic character). t~nor (favorability) and distinction (esteem).The observed inter-firm differences in these d1aracterlstics of received coverage suggest that reputation may be better understood as a composrte construct and that firms' repl.M.t.ional assets may vary in their composition. Our study oifer$ an inductlvely developed process model that rela.t~s the 'market actions of new firms to the accurnulcrtion of the different components of their in~ial reputations in the media.","author":[{"dropping-particle":"","family":"Rindova","given":"Violina P.","non-dropping-particle":"","parse-names":false,"suffix":""},{"dropping-particle":"","family":"Petkova","given":"Antoaneta P.","non-dropping-particle":"","parse-names":false,"suffix":""},{"dropping-particle":"","family":"Kotha","given":"Suresh","non-dropping-particle":"","parse-names":false,"suffix":""}],"container-title":"Strategic Organization","id":"ITEM-1","issue":"1","issued":{"date-parts":[["2007","6"]]},"page":"31-70","title":"Standing out: How new firms in emerging markets build reputation","type":"article-journal","volume":"5"},"uris":["http://www.mendeley.com/documents/?uuid=43760618-ebaa-35b8-a572-cb2aff0baea3"]}],"mendeley":{"formattedCitation":"(Rindova, Petkova, and Kotha 2007)","plainTextFormattedCitation":"(Rindova, Petkova, and Kotha 2007)","previouslyFormattedCitation":"&lt;sup&gt;48&lt;/sup&gt;"},"properties":{"noteIndex":0},"schema":"https://github.com/citation-style-language/schema/raw/master/csl-citation.json"}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(Rindova, Petkova, and Kotha 2007)</w:t>
            </w:r>
            <w:r w:rsidRPr="00101744">
              <w:rPr>
                <w:rFonts w:ascii="Arial" w:eastAsia="Times New Roman" w:hAnsi="Arial" w:cs="Arial"/>
                <w:color w:val="000000"/>
                <w:sz w:val="18"/>
                <w:szCs w:val="18"/>
                <w:lang w:val="en-US" w:eastAsia="pt-PT"/>
              </w:rPr>
              <w:fldChar w:fldCharType="end"/>
            </w:r>
          </w:p>
        </w:tc>
        <w:tc>
          <w:tcPr>
            <w:tcW w:w="709" w:type="dxa"/>
            <w:noWrap/>
            <w:hideMark/>
          </w:tcPr>
          <w:p w14:paraId="37EECCA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5F2EA4B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517" w:type="dxa"/>
            <w:noWrap/>
            <w:hideMark/>
          </w:tcPr>
          <w:p w14:paraId="1B72169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c>
          <w:tcPr>
            <w:tcW w:w="767" w:type="dxa"/>
            <w:noWrap/>
            <w:hideMark/>
          </w:tcPr>
          <w:p w14:paraId="02D8657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23</w:t>
            </w:r>
          </w:p>
        </w:tc>
        <w:tc>
          <w:tcPr>
            <w:tcW w:w="695" w:type="dxa"/>
            <w:noWrap/>
            <w:hideMark/>
          </w:tcPr>
          <w:p w14:paraId="42BA115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19-31</w:t>
            </w:r>
          </w:p>
        </w:tc>
        <w:tc>
          <w:tcPr>
            <w:tcW w:w="1907" w:type="dxa"/>
            <w:noWrap/>
            <w:hideMark/>
          </w:tcPr>
          <w:p w14:paraId="7738723A"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Sentences</w:t>
            </w:r>
          </w:p>
        </w:tc>
        <w:tc>
          <w:tcPr>
            <w:tcW w:w="445" w:type="dxa"/>
            <w:noWrap/>
            <w:hideMark/>
          </w:tcPr>
          <w:p w14:paraId="4B83055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c>
          <w:tcPr>
            <w:tcW w:w="1681" w:type="dxa"/>
            <w:noWrap/>
            <w:hideMark/>
          </w:tcPr>
          <w:p w14:paraId="7C6FE424"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3T </w:t>
            </w:r>
            <w:proofErr w:type="spellStart"/>
            <w:r w:rsidRPr="00101744">
              <w:rPr>
                <w:rFonts w:ascii="Arial" w:eastAsia="Times New Roman" w:hAnsi="Arial" w:cs="Arial"/>
                <w:color w:val="000000"/>
                <w:sz w:val="18"/>
                <w:szCs w:val="18"/>
                <w:lang w:val="en-US" w:eastAsia="pt-PT"/>
              </w:rPr>
              <w:t>MedSpec</w:t>
            </w:r>
            <w:proofErr w:type="spellEnd"/>
            <w:r w:rsidRPr="00101744">
              <w:rPr>
                <w:rFonts w:ascii="Arial" w:eastAsia="Times New Roman" w:hAnsi="Arial" w:cs="Arial"/>
                <w:color w:val="000000"/>
                <w:sz w:val="18"/>
                <w:szCs w:val="18"/>
                <w:lang w:val="en-US" w:eastAsia="pt-PT"/>
              </w:rPr>
              <w:t xml:space="preserve"> Bruker</w:t>
            </w:r>
          </w:p>
        </w:tc>
        <w:tc>
          <w:tcPr>
            <w:tcW w:w="1547" w:type="dxa"/>
            <w:noWrap/>
            <w:hideMark/>
          </w:tcPr>
          <w:p w14:paraId="6B90329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LIPSIA</w:t>
            </w:r>
          </w:p>
        </w:tc>
        <w:tc>
          <w:tcPr>
            <w:tcW w:w="1855" w:type="dxa"/>
            <w:noWrap/>
            <w:hideMark/>
          </w:tcPr>
          <w:p w14:paraId="15F27C7E"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129E9DF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6" w:type="dxa"/>
            <w:noWrap/>
            <w:hideMark/>
          </w:tcPr>
          <w:p w14:paraId="6A1E6B9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r>
      <w:tr w:rsidR="003D1F45" w:rsidRPr="00101744" w14:paraId="1E5E6DC0" w14:textId="77777777" w:rsidTr="00B60BB2">
        <w:trPr>
          <w:trHeight w:val="300"/>
        </w:trPr>
        <w:tc>
          <w:tcPr>
            <w:tcW w:w="2269" w:type="dxa"/>
            <w:noWrap/>
            <w:vAlign w:val="center"/>
            <w:hideMark/>
          </w:tcPr>
          <w:p w14:paraId="77E298ED" w14:textId="5CA7D3F4"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{"citationItems":[{"id":"ITEM-1","itemData":{"DOI":"10.1002/hbm.20441","ISSN":"10659471","PMID":"17924553","abstract":"It remains controversial whether the left inferior frontal gyrus subserves syntactic processing or short-term memory demands. Here we devised a novel picture-sentence matching task involving Japanese sentences with different structures to clearly contrast syntactic reanalysis processes. Using event-related functional magnetic resonance imaging (fMRI), activations under three main conditions were directly compared: a canonical/subject-initial active sentence (AS), a noncanonical/subject-initial passive sentence (PS), and a noncanonical/object-initial scrambled sentence (SS). We found that activation in the dorsal region of the left inferior frontal gyrus (dF3t) was enhanced more by the noncanonical processing under the PS and SS conditions than by the canonical processing under the AS condition, and this enhancement was independent of domain-general factors, such as general memory demands and task difficulty. Moreover, the left posterior superior/middle temporal gyrus (pSTG/MTG) showed more enhanced responses to object-initial sentences under the SS condition than to subject-initial sentences under the AS and PS conditions, which were not significantly affected by task difficulty. Furthermore, activation in the left lateral p</w:instrText>
            </w:r>
            <w:r w:rsidR="00C14016">
              <w:rPr>
                <w:rFonts w:ascii="Arial" w:hAnsi="Arial" w:cs="Arial"/>
                <w:color w:val="000000"/>
                <w:sz w:val="18"/>
                <w:szCs w:val="18"/>
                <w:lang w:eastAsia="pt-PT"/>
              </w:rPr>
              <w:instrText>remotor cortex (LPMC) increased under the AS, PS, and SS conditions, in that order. It is possible that task difficulty affects the left LPMC, but the three distinct activations patterns suggest that these frontal and temporal regions work in concert to process syntactic structures, with their respective contributions dynamically regulated by linguistic requirements.","author":[{"dropping-particle":"","family":"Kinno","given":"Ryuta","non-dropping-particle":"","parse-names":false,"suffix":""},{"dropping-particle":"","family":"Kawamura","given":"Mitsuru","non-dropping-particle":"","parse-names":false,"suffix":""},{"dropping-particle":"","family":"Shioda","given":"Seiji","non-dropping-particle":"","parse-names":false,"suffix":""},{"dropping-particle":"","family":"Sakai","given":"Kuniyoshi L.","non-dropping-particle":"","parse-names":false,"suffix":""}],"container-title":"Human Brain Mapping","id":"ITEM-1","issue":"9","issued":{"date-parts":[["2008","9"]]},"page":"1015-1027","title":"Neural correlates of noncanonical syntactic processing revealed by a picture-sentence matching task","type":"article-journal","volume":"29"},"uris":["http://www.mendeley.com/documents/?uuid=f0718d0d-ddec-3376-8961-7a7343b3bb7c"]}],"mendeley":{"formattedCitation":"(Kinno et al. 2008)","plainTextFormattedCitation":"(Kinno et al. 2008)","previouslyFormattedCitation":"&lt;sup&gt;49&lt;/sup&gt;"},"properties":{"noteIndex":0},"schema":"https://github.com/citation-style-language/schema/raw/master/csl-citation.json"}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(Kinno et al. 2008)</w:t>
            </w:r>
            <w:r w:rsidRPr="00101744">
              <w:rPr>
                <w:rFonts w:ascii="Arial" w:eastAsia="Times New Roman" w:hAnsi="Arial" w:cs="Arial"/>
                <w:color w:val="000000"/>
                <w:sz w:val="18"/>
                <w:szCs w:val="18"/>
                <w:lang w:val="en-US" w:eastAsia="pt-PT"/>
              </w:rPr>
              <w:fldChar w:fldCharType="end"/>
            </w:r>
          </w:p>
        </w:tc>
        <w:tc>
          <w:tcPr>
            <w:tcW w:w="709" w:type="dxa"/>
            <w:noWrap/>
            <w:hideMark/>
          </w:tcPr>
          <w:p w14:paraId="4B11AFB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14</w:t>
            </w:r>
          </w:p>
        </w:tc>
        <w:tc>
          <w:tcPr>
            <w:tcW w:w="650" w:type="dxa"/>
            <w:noWrap/>
            <w:hideMark/>
          </w:tcPr>
          <w:p w14:paraId="008EBD7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c>
          <w:tcPr>
            <w:tcW w:w="517" w:type="dxa"/>
            <w:noWrap/>
            <w:hideMark/>
          </w:tcPr>
          <w:p w14:paraId="7F06A09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c>
          <w:tcPr>
            <w:tcW w:w="767" w:type="dxa"/>
            <w:noWrap/>
            <w:hideMark/>
          </w:tcPr>
          <w:p w14:paraId="3C4AD8EF"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95" w:type="dxa"/>
            <w:noWrap/>
            <w:hideMark/>
          </w:tcPr>
          <w:p w14:paraId="1E710A6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20-31</w:t>
            </w:r>
          </w:p>
        </w:tc>
        <w:tc>
          <w:tcPr>
            <w:tcW w:w="1907" w:type="dxa"/>
            <w:noWrap/>
            <w:hideMark/>
          </w:tcPr>
          <w:p w14:paraId="71A84F54"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Sentences</w:t>
            </w:r>
          </w:p>
        </w:tc>
        <w:tc>
          <w:tcPr>
            <w:tcW w:w="445" w:type="dxa"/>
            <w:noWrap/>
            <w:hideMark/>
          </w:tcPr>
          <w:p w14:paraId="60F841C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11</w:t>
            </w:r>
          </w:p>
        </w:tc>
        <w:tc>
          <w:tcPr>
            <w:tcW w:w="1681" w:type="dxa"/>
            <w:noWrap/>
            <w:hideMark/>
          </w:tcPr>
          <w:p w14:paraId="2F00374D"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1.5T </w:t>
            </w:r>
            <w:proofErr w:type="spellStart"/>
            <w:r w:rsidRPr="00101744">
              <w:rPr>
                <w:rFonts w:ascii="Arial" w:eastAsia="Times New Roman" w:hAnsi="Arial" w:cs="Arial"/>
                <w:color w:val="000000"/>
                <w:sz w:val="18"/>
                <w:szCs w:val="18"/>
                <w:lang w:val="en-US" w:eastAsia="pt-PT"/>
              </w:rPr>
              <w:t>Stratis</w:t>
            </w:r>
            <w:proofErr w:type="spellEnd"/>
            <w:r w:rsidRPr="00101744">
              <w:rPr>
                <w:rFonts w:ascii="Arial" w:eastAsia="Times New Roman" w:hAnsi="Arial" w:cs="Arial"/>
                <w:color w:val="000000"/>
                <w:sz w:val="18"/>
                <w:szCs w:val="18"/>
                <w:lang w:val="en-US" w:eastAsia="pt-PT"/>
              </w:rPr>
              <w:t xml:space="preserve"> II Hitachi</w:t>
            </w:r>
          </w:p>
        </w:tc>
        <w:tc>
          <w:tcPr>
            <w:tcW w:w="1547" w:type="dxa"/>
            <w:noWrap/>
            <w:hideMark/>
          </w:tcPr>
          <w:p w14:paraId="36564DC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SPM2</w:t>
            </w:r>
          </w:p>
        </w:tc>
        <w:tc>
          <w:tcPr>
            <w:tcW w:w="1855" w:type="dxa"/>
            <w:noWrap/>
            <w:hideMark/>
          </w:tcPr>
          <w:p w14:paraId="27F3A09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P(FDR)&lt;0.05</w:t>
            </w:r>
          </w:p>
        </w:tc>
        <w:tc>
          <w:tcPr>
            <w:tcW w:w="717" w:type="dxa"/>
            <w:noWrap/>
            <w:hideMark/>
          </w:tcPr>
          <w:p w14:paraId="4864A90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4000</w:t>
            </w:r>
          </w:p>
        </w:tc>
        <w:tc>
          <w:tcPr>
            <w:tcW w:w="1146" w:type="dxa"/>
            <w:noWrap/>
            <w:hideMark/>
          </w:tcPr>
          <w:p w14:paraId="58B477A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r>
      <w:tr w:rsidR="003D1F45" w:rsidRPr="00101744" w14:paraId="3E5923CF" w14:textId="77777777" w:rsidTr="00B60BB2">
        <w:trPr>
          <w:trHeight w:val="300"/>
        </w:trPr>
        <w:tc>
          <w:tcPr>
            <w:tcW w:w="2269" w:type="dxa"/>
            <w:noWrap/>
            <w:vAlign w:val="center"/>
            <w:hideMark/>
          </w:tcPr>
          <w:p w14:paraId="27A527CF" w14:textId="62121AFB"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{"citationItems":[{"id":"ITEM-1","itemData":{"DOI":"10.1002/hbm.20287","ISSN":"10659471","PMID":"17455365","abstract":"The psychological processes through which humans learn a language have gained considerable interest over the past years. It has been previously suggested that language acquisition partly relies on a rule-based mechanism that is mediated by the frontal cortex. Interestingly, the actual structure involved within the frontal cortex varies with the kind of rules being processed. By means of functional MRI we investigated the neural underpinnings of rule-based language processing using an artificial language that allows direct comparisons between local phrase structure dependencies and hierarchically structured long-distance dependencies. Activation in the left ventral premotor cortex (PMC) was related to the local character of rule change, whereas long-distance dependencies activated the opercular part of the inferior frontal gyrus (Broca's area (BA) 44). These results suggest that the brain's involvement in syntactic processing is determined by the type of rule used, with BA 44/45 playing an important role during language processing when long-distance dependencies are processed. In contrast, the ventral PMC seems to subserve the processing of local dependencies. In addition, hippocampal activity was observed for local dependencies, indicating that the processing of such dependencies may be mediated by a second mechanism.","author":[{"dropping-particle":"","family":"Opitz","given":"Bertram","non-dropping-particle":"","parse-names":false,"suffix":""},{"dropping-particle":"","family":"Friederici","given":"Angela D.","non-dropping-particle":"","parse-names":false,"suffix":""}],"container-title":"Human Brain Mapping","id":"ITEM-1","issue":"7","issued":{"date-parts":[["2007","7"]]},"page":"585-592","title":"Neural basis of processing sequential and hierarchical syntactic structures","type":"article-journal","volume":"28"},"uris":["http://www.mendeley.com/documents/?uuid=cf0850b6-078a-3137-bc3f-3d3da8133347"]}],"mendeley":{"formattedCitation":"(Opitz and Friederici 2007)","plainTextFormattedCitation":"(Opitz and Friederici 2007)","previouslyFormattedCitation":"&lt;sup&gt;50&lt;/sup&gt;"},"properties":{"noteIndex":0},"schema":"https://github.com/citation-style-language/schema/raw/master/csl-citation.json"}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(Opitz and Friederici 2007)</w:t>
            </w:r>
            <w:r w:rsidRPr="00101744">
              <w:rPr>
                <w:rFonts w:ascii="Arial" w:eastAsia="Times New Roman" w:hAnsi="Arial" w:cs="Arial"/>
                <w:color w:val="000000"/>
                <w:sz w:val="18"/>
                <w:szCs w:val="18"/>
                <w:lang w:val="en-US" w:eastAsia="pt-PT"/>
              </w:rPr>
              <w:fldChar w:fldCharType="end"/>
            </w:r>
          </w:p>
        </w:tc>
        <w:tc>
          <w:tcPr>
            <w:tcW w:w="709" w:type="dxa"/>
            <w:noWrap/>
            <w:hideMark/>
          </w:tcPr>
          <w:p w14:paraId="05F4E78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24</w:t>
            </w:r>
          </w:p>
        </w:tc>
        <w:tc>
          <w:tcPr>
            <w:tcW w:w="650" w:type="dxa"/>
            <w:noWrap/>
            <w:hideMark/>
          </w:tcPr>
          <w:p w14:paraId="1F61CEE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13</w:t>
            </w:r>
          </w:p>
        </w:tc>
        <w:tc>
          <w:tcPr>
            <w:tcW w:w="517" w:type="dxa"/>
            <w:noWrap/>
            <w:hideMark/>
          </w:tcPr>
          <w:p w14:paraId="064C212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11</w:t>
            </w:r>
          </w:p>
        </w:tc>
        <w:tc>
          <w:tcPr>
            <w:tcW w:w="767" w:type="dxa"/>
            <w:noWrap/>
            <w:hideMark/>
          </w:tcPr>
          <w:p w14:paraId="319FD05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25</w:t>
            </w:r>
          </w:p>
        </w:tc>
        <w:tc>
          <w:tcPr>
            <w:tcW w:w="695" w:type="dxa"/>
            <w:noWrap/>
            <w:hideMark/>
          </w:tcPr>
          <w:p w14:paraId="5B07B1C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21-31</w:t>
            </w:r>
          </w:p>
        </w:tc>
        <w:tc>
          <w:tcPr>
            <w:tcW w:w="1907" w:type="dxa"/>
            <w:noWrap/>
            <w:hideMark/>
          </w:tcPr>
          <w:p w14:paraId="513B1C64"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Words and sentences /Recall</w:t>
            </w:r>
          </w:p>
        </w:tc>
        <w:tc>
          <w:tcPr>
            <w:tcW w:w="445" w:type="dxa"/>
            <w:noWrap/>
            <w:hideMark/>
          </w:tcPr>
          <w:p w14:paraId="63BD1C0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13</w:t>
            </w:r>
          </w:p>
        </w:tc>
        <w:tc>
          <w:tcPr>
            <w:tcW w:w="1681" w:type="dxa"/>
            <w:noWrap/>
            <w:hideMark/>
          </w:tcPr>
          <w:p w14:paraId="68E8B0AC"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3T </w:t>
            </w:r>
            <w:proofErr w:type="spellStart"/>
            <w:r w:rsidRPr="00101744">
              <w:rPr>
                <w:rFonts w:ascii="Arial" w:eastAsia="Times New Roman" w:hAnsi="Arial" w:cs="Arial"/>
                <w:color w:val="000000"/>
                <w:sz w:val="18"/>
                <w:szCs w:val="18"/>
                <w:lang w:val="en-US" w:eastAsia="pt-PT"/>
              </w:rPr>
              <w:t>MedSpec</w:t>
            </w:r>
            <w:proofErr w:type="spellEnd"/>
            <w:r w:rsidRPr="00101744">
              <w:rPr>
                <w:rFonts w:ascii="Arial" w:eastAsia="Times New Roman" w:hAnsi="Arial" w:cs="Arial"/>
                <w:color w:val="000000"/>
                <w:sz w:val="18"/>
                <w:szCs w:val="18"/>
                <w:lang w:val="en-US" w:eastAsia="pt-PT"/>
              </w:rPr>
              <w:t xml:space="preserve"> Bruker</w:t>
            </w:r>
          </w:p>
        </w:tc>
        <w:tc>
          <w:tcPr>
            <w:tcW w:w="1547" w:type="dxa"/>
            <w:noWrap/>
            <w:hideMark/>
          </w:tcPr>
          <w:p w14:paraId="41CEB3E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LIPSIA</w:t>
            </w:r>
          </w:p>
        </w:tc>
        <w:tc>
          <w:tcPr>
            <w:tcW w:w="1855" w:type="dxa"/>
            <w:noWrap/>
            <w:hideMark/>
          </w:tcPr>
          <w:p w14:paraId="31D8F465"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&lt;0.0001</w:t>
            </w:r>
          </w:p>
        </w:tc>
        <w:tc>
          <w:tcPr>
            <w:tcW w:w="717" w:type="dxa"/>
            <w:noWrap/>
            <w:hideMark/>
          </w:tcPr>
          <w:p w14:paraId="6B249F1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6" w:type="dxa"/>
            <w:noWrap/>
            <w:hideMark/>
          </w:tcPr>
          <w:p w14:paraId="76F8B58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r>
      <w:tr w:rsidR="003D1F45" w:rsidRPr="00101744" w14:paraId="4784EE2B" w14:textId="77777777" w:rsidTr="00B60BB2">
        <w:trPr>
          <w:trHeight w:val="300"/>
        </w:trPr>
        <w:tc>
          <w:tcPr>
            <w:tcW w:w="2269" w:type="dxa"/>
            <w:noWrap/>
            <w:vAlign w:val="center"/>
            <w:hideMark/>
          </w:tcPr>
          <w:p w14:paraId="7CBF8A59" w14:textId="595A867C"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{"citationItems":[{"id":"ITEM-1","itemData":{"DOI":"10.1093/cercor/bhl099","ISSN":"1460-2199","PMID":"17060365","abstract":"The current study addresses the controversial issue of how different grammatical categories are neurally processed. Several lesion-deficit studies suggest that distinct neural substrates underlie the representation of nouns and verbs, with verb deficits associated with damage to left inferior frontal gyrus (LIFG) and noun deficits with damage to left temporal cortex. However, this view is not universally shared by neuropsychological and neuroimaging studies. We have suggested that these inconsistencies may reflect interactions between the morphological structure of nouns and verbs and the processing implications of this, rather than differences in their neural representations (Tyler et al. 2004). We tested this hypothesis using event-related functional magnetic resonance imaging, to scan subjects performing a valence judgment on unambiguous nouns and verbs, presented as stems ('snail, hear') and inflected forms ('snails, hears'). We predicted that activations for noun and verb stems would not differ, whereas inflected verbs would generate more activation in left frontotemporal areas than inflected nouns. Our findings supported this hypothesis, with greater activation of this network for inflected verbs compared with inflected nouns. These results support the claim that form class is not a first-order organizing principle underlying the representation of words but rather interacts with the processes that operate over lexical representations.","author":[{"dropping-particle":"","family":"Longe","given":"O","non-dropping-particle":"","parse-names":false,"suffix":""},{"dropping-particle":"","family":"Randall","given":"B","non-dropping-particle":"","parse-names":false,"suffix":""},{"dropping-particle":"","family":"Stamatakis","given":"EA","non-dropping-particle":"","parse-names":false,"suffix":""},{"dropping-particle":"","family":"Tyler","given":"LK","non-dropping-particle":"","parse-names":false,"suffix":""}],"container-title":"Cerebral Cortex","id":"ITEM-1","issue":"8","issued":{"date-parts":[["2007","8"]]},"page":"1812-1820","title":"Grammatical Categories in the Brain: The Role of Morphological Structure","type":"article-journal","volume":"17"},"uris":["http://www.mendeley.com/documents/?uuid=6fcc9918-5542-33b3-bdfa-44b129ebd20d"]}],"mendeley":{"formattedCitation":"(Longe et al. 2007)","plainTextFormattedCitation":"(Longe et al. 2007)","previouslyFormattedCitation":"&lt;sup&gt;51&lt;/sup&gt;"},"properties":{"noteIndex":0},"schema":"https://github.com/citation-style-language/schema/raw/master/csl-citation.json"}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(Longe et al. 2007)</w:t>
            </w:r>
            <w:r w:rsidRPr="00101744">
              <w:rPr>
                <w:rFonts w:ascii="Arial" w:eastAsia="Times New Roman" w:hAnsi="Arial" w:cs="Arial"/>
                <w:color w:val="000000"/>
                <w:sz w:val="18"/>
                <w:szCs w:val="18"/>
                <w:lang w:val="en-US" w:eastAsia="pt-PT"/>
              </w:rPr>
              <w:fldChar w:fldCharType="end"/>
            </w:r>
          </w:p>
        </w:tc>
        <w:tc>
          <w:tcPr>
            <w:tcW w:w="709" w:type="dxa"/>
            <w:noWrap/>
            <w:hideMark/>
          </w:tcPr>
          <w:p w14:paraId="5B2B637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2A9435E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c>
          <w:tcPr>
            <w:tcW w:w="517" w:type="dxa"/>
            <w:noWrap/>
            <w:hideMark/>
          </w:tcPr>
          <w:p w14:paraId="12E5D9E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9</w:t>
            </w:r>
          </w:p>
        </w:tc>
        <w:tc>
          <w:tcPr>
            <w:tcW w:w="767" w:type="dxa"/>
            <w:noWrap/>
            <w:hideMark/>
          </w:tcPr>
          <w:p w14:paraId="16E5691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25</w:t>
            </w:r>
          </w:p>
        </w:tc>
        <w:tc>
          <w:tcPr>
            <w:tcW w:w="695" w:type="dxa"/>
            <w:noWrap/>
            <w:hideMark/>
          </w:tcPr>
          <w:p w14:paraId="79FD0F4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20-37</w:t>
            </w:r>
          </w:p>
        </w:tc>
        <w:tc>
          <w:tcPr>
            <w:tcW w:w="1907" w:type="dxa"/>
            <w:noWrap/>
            <w:hideMark/>
          </w:tcPr>
          <w:p w14:paraId="7C3F65DD"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 semantic discrimination</w:t>
            </w:r>
          </w:p>
        </w:tc>
        <w:tc>
          <w:tcPr>
            <w:tcW w:w="445" w:type="dxa"/>
            <w:noWrap/>
            <w:hideMark/>
          </w:tcPr>
          <w:p w14:paraId="2733B81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49</w:t>
            </w:r>
          </w:p>
        </w:tc>
        <w:tc>
          <w:tcPr>
            <w:tcW w:w="1681" w:type="dxa"/>
            <w:noWrap/>
            <w:hideMark/>
          </w:tcPr>
          <w:p w14:paraId="062AE883"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3T </w:t>
            </w:r>
            <w:proofErr w:type="spellStart"/>
            <w:r w:rsidRPr="00101744">
              <w:rPr>
                <w:rFonts w:ascii="Arial" w:eastAsia="Times New Roman" w:hAnsi="Arial" w:cs="Arial"/>
                <w:color w:val="000000"/>
                <w:sz w:val="18"/>
                <w:szCs w:val="18"/>
                <w:lang w:val="en-US" w:eastAsia="pt-PT"/>
              </w:rPr>
              <w:t>MedSpec</w:t>
            </w:r>
            <w:proofErr w:type="spellEnd"/>
            <w:r w:rsidRPr="00101744">
              <w:rPr>
                <w:rFonts w:ascii="Arial" w:eastAsia="Times New Roman" w:hAnsi="Arial" w:cs="Arial"/>
                <w:color w:val="000000"/>
                <w:sz w:val="18"/>
                <w:szCs w:val="18"/>
                <w:lang w:val="en-US" w:eastAsia="pt-PT"/>
              </w:rPr>
              <w:t xml:space="preserve"> Bruker</w:t>
            </w:r>
          </w:p>
        </w:tc>
        <w:tc>
          <w:tcPr>
            <w:tcW w:w="1547" w:type="dxa"/>
            <w:noWrap/>
            <w:hideMark/>
          </w:tcPr>
          <w:p w14:paraId="3726910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5D959BAB"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Pcorr</w:t>
            </w:r>
            <w:proofErr w:type="spellEnd"/>
            <w:r w:rsidRPr="00101744">
              <w:rPr>
                <w:rFonts w:ascii="Arial" w:eastAsia="Times New Roman" w:hAnsi="Arial" w:cs="Arial"/>
                <w:color w:val="000000"/>
                <w:sz w:val="18"/>
                <w:szCs w:val="18"/>
                <w:lang w:val="en-US" w:eastAsia="pt-PT"/>
              </w:rPr>
              <w:t>&lt;0.05</w:t>
            </w:r>
          </w:p>
        </w:tc>
        <w:tc>
          <w:tcPr>
            <w:tcW w:w="717" w:type="dxa"/>
            <w:noWrap/>
            <w:hideMark/>
          </w:tcPr>
          <w:p w14:paraId="4F81D3D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1100</w:t>
            </w:r>
          </w:p>
        </w:tc>
        <w:tc>
          <w:tcPr>
            <w:tcW w:w="1146" w:type="dxa"/>
            <w:noWrap/>
            <w:hideMark/>
          </w:tcPr>
          <w:p w14:paraId="42A8244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3.1</w:t>
            </w:r>
          </w:p>
        </w:tc>
      </w:tr>
      <w:tr w:rsidR="003D1F45" w:rsidRPr="00101744" w14:paraId="62F0F73D" w14:textId="77777777" w:rsidTr="00B60BB2">
        <w:trPr>
          <w:trHeight w:val="300"/>
        </w:trPr>
        <w:tc>
          <w:tcPr>
            <w:tcW w:w="2269" w:type="dxa"/>
            <w:noWrap/>
            <w:vAlign w:val="center"/>
            <w:hideMark/>
          </w:tcPr>
          <w:p w14:paraId="51B1C5CE" w14:textId="06F6AFB6"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{"citationItems":[{"id":"ITEM-1","itemData":{"DOI":"10.1098/rstb.2007.2158","ISSN":"0962-8436","PMID":"17827104","abstract":"The research described here combines psycholinguistically well-motivated questions about different aspects of human language comprehension with behavioural and neuroimaging studies of normal performance, incorporating both subtractive analysis techniques and functional connectivity methods, and applying these tasks and techniques to the analysis of the functional and neural properties of brain-damaged patients with selective linguistic deficits in the relevant domains. The results of these investigations point to a set of partially dissociable sub-systems supporting three major aspects of spoken language comprehension, involving regular inflectional morphology, sentence-level syntactic analysis and sentence-level semantic interpretation. Differential patterns of fronto-temporal connectivity for these three domains confirm that the core aspects of language processing are carried out in a fronto-temporo-parietal language system which is modulated in different ways as a function of different linguistic processing requirements. No one region or sub-region holds the key to a specific language function; each requires the coordination of activity within a number of different regions. Functional connectivity analysis plays the critical role of indicating the regions which directly participate in a given sub-process, by virtue of their joint time-dependent activity. By revealing these codependencies, connectivity analysis sharpens the pattern of structure-function relations underlying specific aspects of language performance.","author":[{"dropping-particle":"","family":"Tyler","given":"Lorraine K","non-dropping-particle":"","parse-names":false,"suffix":""},{"dropping-particle":"","family":"Marslen-Wilson","given":"William","non-dropping-particle":"","parse-names":false,"suffix":""}],"container-title":"Philosophical transactions of the Royal Society of London. Series B, Biological sciences","id":"ITEM-1","issue":"1493","issued":{"date-parts":[["2008","3","12"]]},"page":"1037-54","publisher":"The Royal Society","title":"Fronto-temporal brain systems supporting spoken language comprehension.","type":"article-journal","volume":"363"},"uris":["http://www.mendeley.com/documents/?uuid=8287c591-c657-3427-b6a9-1208090cfeef"]}],"mendeley":{"formattedCitation":"(Tyler and Marslen-Wilson 2008)","plainTextFormattedCitation":"(Tyler and Marslen-Wilson 2008)","previouslyFormattedCitation":"&lt;sup&gt;52&lt;/sup&gt;"},"properties":{"noteIndex":0},"schema":"https://github.com/citation-style-language/schema/raw/master/csl-citation.json"}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(Tyler and Marslen-Wilson 2008)</w:t>
            </w:r>
            <w:r w:rsidRPr="00101744">
              <w:rPr>
                <w:rFonts w:ascii="Arial" w:eastAsia="Times New Roman" w:hAnsi="Arial" w:cs="Arial"/>
                <w:color w:val="000000"/>
                <w:sz w:val="18"/>
                <w:szCs w:val="18"/>
                <w:lang w:val="en-US" w:eastAsia="pt-PT"/>
              </w:rPr>
              <w:fldChar w:fldCharType="end"/>
            </w:r>
          </w:p>
        </w:tc>
        <w:tc>
          <w:tcPr>
            <w:tcW w:w="709" w:type="dxa"/>
            <w:noWrap/>
            <w:hideMark/>
          </w:tcPr>
          <w:p w14:paraId="2BFE560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w:t>
            </w:r>
          </w:p>
        </w:tc>
        <w:tc>
          <w:tcPr>
            <w:tcW w:w="650" w:type="dxa"/>
            <w:noWrap/>
            <w:hideMark/>
          </w:tcPr>
          <w:p w14:paraId="57378E2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w:t>
            </w:r>
          </w:p>
        </w:tc>
        <w:tc>
          <w:tcPr>
            <w:tcW w:w="517" w:type="dxa"/>
            <w:noWrap/>
            <w:hideMark/>
          </w:tcPr>
          <w:p w14:paraId="09565EA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c>
          <w:tcPr>
            <w:tcW w:w="767" w:type="dxa"/>
            <w:noWrap/>
            <w:hideMark/>
          </w:tcPr>
          <w:p w14:paraId="517A856F"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95" w:type="dxa"/>
            <w:noWrap/>
            <w:hideMark/>
          </w:tcPr>
          <w:p w14:paraId="645DDFD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19-47</w:t>
            </w:r>
          </w:p>
        </w:tc>
        <w:tc>
          <w:tcPr>
            <w:tcW w:w="1907" w:type="dxa"/>
            <w:noWrap/>
            <w:hideMark/>
          </w:tcPr>
          <w:p w14:paraId="006055BB"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 semantic discrimination</w:t>
            </w:r>
          </w:p>
        </w:tc>
        <w:tc>
          <w:tcPr>
            <w:tcW w:w="445" w:type="dxa"/>
            <w:noWrap/>
            <w:hideMark/>
          </w:tcPr>
          <w:p w14:paraId="0AC5A3A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9</w:t>
            </w:r>
          </w:p>
        </w:tc>
        <w:tc>
          <w:tcPr>
            <w:tcW w:w="1681" w:type="dxa"/>
            <w:noWrap/>
            <w:hideMark/>
          </w:tcPr>
          <w:p w14:paraId="5B230FE9" w14:textId="77777777" w:rsidR="003D1F45" w:rsidRPr="00101744" w:rsidRDefault="003D1F45" w:rsidP="00B60BB2">
            <w:pPr>
              <w:rPr>
                <w:rFonts w:ascii="Arial" w:eastAsia="Times New Roman" w:hAnsi="Arial" w:cs="Arial"/>
                <w:color w:val="000000"/>
                <w:sz w:val="18"/>
                <w:szCs w:val="18"/>
                <w:lang w:val="en-US" w:eastAsia="pt-PT"/>
              </w:rPr>
            </w:pPr>
          </w:p>
        </w:tc>
        <w:tc>
          <w:tcPr>
            <w:tcW w:w="1547" w:type="dxa"/>
            <w:noWrap/>
            <w:hideMark/>
          </w:tcPr>
          <w:p w14:paraId="6B263D3E" w14:textId="77777777" w:rsidR="003D1F45" w:rsidRPr="00101744" w:rsidRDefault="003D1F45" w:rsidP="00B60BB2">
            <w:pPr>
              <w:jc w:val="center"/>
              <w:rPr>
                <w:rFonts w:ascii="Arial" w:eastAsia="Times New Roman" w:hAnsi="Arial" w:cs="Arial"/>
                <w:sz w:val="18"/>
                <w:szCs w:val="18"/>
                <w:lang w:val="en-US" w:eastAsia="pt-PT"/>
              </w:rPr>
            </w:pPr>
          </w:p>
        </w:tc>
        <w:tc>
          <w:tcPr>
            <w:tcW w:w="1855" w:type="dxa"/>
            <w:noWrap/>
            <w:hideMark/>
          </w:tcPr>
          <w:p w14:paraId="35085BC0" w14:textId="77777777" w:rsidR="003D1F45" w:rsidRPr="00101744" w:rsidRDefault="003D1F45" w:rsidP="00B60BB2">
            <w:pPr>
              <w:jc w:val="center"/>
              <w:rPr>
                <w:rFonts w:ascii="Arial" w:eastAsia="Times New Roman" w:hAnsi="Arial" w:cs="Arial"/>
                <w:sz w:val="18"/>
                <w:szCs w:val="18"/>
                <w:lang w:val="en-US" w:eastAsia="pt-PT"/>
              </w:rPr>
            </w:pPr>
          </w:p>
        </w:tc>
        <w:tc>
          <w:tcPr>
            <w:tcW w:w="717" w:type="dxa"/>
            <w:noWrap/>
            <w:hideMark/>
          </w:tcPr>
          <w:p w14:paraId="1CB4A1B4" w14:textId="77777777" w:rsidR="003D1F45" w:rsidRPr="00101744" w:rsidRDefault="003D1F45" w:rsidP="00B60BB2">
            <w:pPr>
              <w:jc w:val="center"/>
              <w:rPr>
                <w:rFonts w:ascii="Arial" w:eastAsia="Times New Roman" w:hAnsi="Arial" w:cs="Arial"/>
                <w:sz w:val="18"/>
                <w:szCs w:val="18"/>
                <w:lang w:val="en-US" w:eastAsia="pt-PT"/>
              </w:rPr>
            </w:pPr>
          </w:p>
        </w:tc>
        <w:tc>
          <w:tcPr>
            <w:tcW w:w="1146" w:type="dxa"/>
            <w:noWrap/>
            <w:hideMark/>
          </w:tcPr>
          <w:p w14:paraId="58AC3EC5" w14:textId="77777777" w:rsidR="003D1F45" w:rsidRPr="00101744" w:rsidRDefault="003D1F45" w:rsidP="00B60BB2">
            <w:pPr>
              <w:jc w:val="center"/>
              <w:rPr>
                <w:rFonts w:ascii="Arial" w:eastAsia="Times New Roman" w:hAnsi="Arial" w:cs="Arial"/>
                <w:sz w:val="18"/>
                <w:szCs w:val="18"/>
                <w:lang w:val="en-US" w:eastAsia="pt-PT"/>
              </w:rPr>
            </w:pPr>
          </w:p>
        </w:tc>
      </w:tr>
      <w:tr w:rsidR="003D1F45" w:rsidRPr="00101744" w14:paraId="6F72405B" w14:textId="77777777" w:rsidTr="00B60BB2">
        <w:trPr>
          <w:trHeight w:val="300"/>
        </w:trPr>
        <w:tc>
          <w:tcPr>
            <w:tcW w:w="2269" w:type="dxa"/>
            <w:noWrap/>
            <w:vAlign w:val="center"/>
            <w:hideMark/>
          </w:tcPr>
          <w:p w14:paraId="5149B9AC" w14:textId="44686CBA"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{"citationItems":[{"id":"ITEM-1","itemData":{"DOI":"10.1002/hbm.10054","ISSN":"1065-9471","PMID":"12112766","abstract":"Functional magnetic resonance imaging (fMRI) was used to examine the functional anatomy of word comprehension in the auditory and visual modalities of presentation. We asked our subjects to determine if word pairs were semantically associated (e.g., table, chair) and compared this to a reference task where they were asked to judge whether word pairs rhymed (e.g., bank, tank). This comparison showed task-specific and modality-independent activation for semantic processing in the heteromodal cortices of the left inferior frontal gyrus (BA 46, 47) and left middle temporal gyrus (BA 21). There were also modality-specific activations in the fusiform gyrus (BA 37) for written words and in the superior temporal gyrus (BA 22) for spoken words. Our findings are consistent with the hypothesis that word form recognition (lexical encoding) occurs in unimodal cortices and that heteromodal brain regions in the anterior as well as posterior components of the language network subserve word comprehension (semantic decoding).","author":[{"dropping-particle":"","family":"Booth","given":"James R.","non-dropping-particle":"","parse-names":false,"suffix":""},{"dropping-particle":"","family":"Burman","given":"Douglas D.","non-dropping-particle":"","parse-names":false,"suffix":""},{"dropping-particle":"","family":"Meyer","given":"Joel R.","non-dropping-particle":"","parse-names":false,"suffix":""},{"dropping-particle":"","family":"Gitelman","given":"Darren R.","non-dropping-particle":"","parse-names":false,"suffix":""},{"dropping-particle":"","family":"Parrish","given":"Todd B.","non-dropping-particle":"","parse-names":false,"suffix":""},{"dropping-particle":"","family":"Mesulam","given":"M. Marsel","non-dropping-particle":"","parse-names":false,"suffix":""}],"container-title":"Human Brain Mapping","id":"ITEM-1","issue":"4","issued":{"date-parts":[["2002","8"]]},"page":"251-261","title":"Modality independence of word comprehension","type":"article-journal","volume":"16"},"uris":["http://www.mendeley.com/documents/?uuid=3ec87c96-ae3d-3ae7-89b5-b8667d898e69"]}],"mendeley":{"formattedCitation":"(Booth et al. 2002)","plainTextFormattedCitation":"(Booth et al. 2002)","previouslyFormattedCitation":"&lt;sup&gt;53&lt;/sup&gt;"},"properties":{"noteIndex":0},"schema":"https://github.com/citation-style-language/schema/raw/master/csl-citation.json"}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(Booth et al. 2002)</w:t>
            </w:r>
            <w:r w:rsidRPr="00101744">
              <w:rPr>
                <w:rFonts w:ascii="Arial" w:eastAsia="Times New Roman" w:hAnsi="Arial" w:cs="Arial"/>
                <w:color w:val="000000"/>
                <w:sz w:val="18"/>
                <w:szCs w:val="18"/>
                <w:lang w:val="en-US" w:eastAsia="pt-PT"/>
              </w:rPr>
              <w:fldChar w:fldCharType="end"/>
            </w:r>
          </w:p>
        </w:tc>
        <w:tc>
          <w:tcPr>
            <w:tcW w:w="709" w:type="dxa"/>
            <w:noWrap/>
            <w:hideMark/>
          </w:tcPr>
          <w:p w14:paraId="1464E58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13</w:t>
            </w:r>
          </w:p>
        </w:tc>
        <w:tc>
          <w:tcPr>
            <w:tcW w:w="650" w:type="dxa"/>
            <w:noWrap/>
            <w:hideMark/>
          </w:tcPr>
          <w:p w14:paraId="7DC586E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c>
          <w:tcPr>
            <w:tcW w:w="517" w:type="dxa"/>
            <w:noWrap/>
            <w:hideMark/>
          </w:tcPr>
          <w:p w14:paraId="1DD4AA6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c>
          <w:tcPr>
            <w:tcW w:w="767" w:type="dxa"/>
            <w:noWrap/>
            <w:hideMark/>
          </w:tcPr>
          <w:p w14:paraId="029AEA1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25</w:t>
            </w:r>
          </w:p>
        </w:tc>
        <w:tc>
          <w:tcPr>
            <w:tcW w:w="695" w:type="dxa"/>
            <w:noWrap/>
            <w:hideMark/>
          </w:tcPr>
          <w:p w14:paraId="0C13740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20-35</w:t>
            </w:r>
          </w:p>
        </w:tc>
        <w:tc>
          <w:tcPr>
            <w:tcW w:w="1907" w:type="dxa"/>
            <w:noWrap/>
            <w:hideMark/>
          </w:tcPr>
          <w:p w14:paraId="61574487"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N-back reading and semantic discrimination</w:t>
            </w:r>
          </w:p>
        </w:tc>
        <w:tc>
          <w:tcPr>
            <w:tcW w:w="445" w:type="dxa"/>
            <w:noWrap/>
            <w:hideMark/>
          </w:tcPr>
          <w:p w14:paraId="6BECD5E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w:t>
            </w:r>
          </w:p>
        </w:tc>
        <w:tc>
          <w:tcPr>
            <w:tcW w:w="1681" w:type="dxa"/>
            <w:noWrap/>
            <w:hideMark/>
          </w:tcPr>
          <w:p w14:paraId="77D72541"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1.5T GE</w:t>
            </w:r>
          </w:p>
        </w:tc>
        <w:tc>
          <w:tcPr>
            <w:tcW w:w="1547" w:type="dxa"/>
            <w:noWrap/>
            <w:hideMark/>
          </w:tcPr>
          <w:p w14:paraId="13BD381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5D1E49A2"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6DFBC64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3000</w:t>
            </w:r>
          </w:p>
        </w:tc>
        <w:tc>
          <w:tcPr>
            <w:tcW w:w="1146" w:type="dxa"/>
            <w:noWrap/>
            <w:hideMark/>
          </w:tcPr>
          <w:p w14:paraId="6EF2B0B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3.43</w:t>
            </w:r>
          </w:p>
        </w:tc>
      </w:tr>
      <w:tr w:rsidR="003D1F45" w:rsidRPr="00101744" w14:paraId="4BCE571C" w14:textId="77777777" w:rsidTr="00B60BB2">
        <w:trPr>
          <w:trHeight w:val="300"/>
        </w:trPr>
        <w:tc>
          <w:tcPr>
            <w:tcW w:w="2269" w:type="dxa"/>
            <w:noWrap/>
            <w:vAlign w:val="center"/>
            <w:hideMark/>
          </w:tcPr>
          <w:p w14:paraId="0D1BE836" w14:textId="6ACB1237"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{"citationItems":[{"id":"ITEM-1","itemData":{"DOI":"10.1002/hbm.10111","ISSN":"1065-9471","PMID":"12811732","abstract":"Functional magnetic resonance imaging (fMRI) was used to determine whether performance on lexical tasks was correlated with cerebral activation patterns. We found that such relationships did exist and that their anatomical distribution reflected the neurocognitive processing routes required by the task. Better performance on intramodal tasks (determining if visual words were spelled the same or if auditory words rhymed) was correlated with more activation in unimodal regions corresponding to the modality of sensory input, namely the fusiform gyrus (BA 37) for written words and the superior temporal gyrus (BA 22) for spoken words. Better performance in tasks requiring cross-modal conversions (determining if auditory words were spelled the same or if visual words rhymed), on the other hand, was correlated with more activation in posterior heteromodal regions, including the supramarginal gyrus (BA 40) and the angular gyrus (BA 39). Better performance in these cross-modal tasks was also correlated with greater activation in unimodal regions corresponding to the target modality of the conversion process (i.e., fusiform gyrus for auditory spelling and superior temporal gyrus for visual rhyming). In contrast, performance on the auditory spelling task was inversely correlated with activation in the superior temporal gyrus possibly reflecting a greater emphasis on the properties of the perceptual input rather than on the relevant transmodal conversions.","author":[{"dropping-particle":"","family":"Booth","given":"James R.","non-dropping-particle":"","parse-names":false,"suffix":""},{"dropping-particle":"","family":"Burman","given":"Douglas D.","non-dropping-particle":"","parse-names":false,"suffix":""},{"dropping-particle":"","family":"Meyer","given":"Joel R.","non-dropping-particle":"","parse-names":false,"suffix":""},{"dropping-particle":"","family":"Gitelman","given":"Darren R.","non-dropping-particle":"","parse-names":false,"suffix":""},{"dropping-particle":"","family":"Parrish","given":"Todd B.","non-dropping-particle":"","parse-names":false,"suffix":""},{"dropping-particle":"","family":"Mesulam","given":"M. Marsel","non-dropping-particle":"","parse-names":false,"suffix":""}],"container-title":"Human Brain Mapping","id":"ITEM-1","issue":"3","issued":{"date-parts":[["2003","7"]]},"page":"155-169","title":"Relation between brain activation and lexical performance","type":"article-journal","volume":"19"},"uris":["http://www.mendeley.com/documents/?uuid=bed64598-2e01-3de8-8126-e1aeba1070e4"]}],"mendeley":{"formattedCitation":"(Booth et al. 2003)","plainTextFormattedCitation":"(Booth et al. 2003)","previouslyFormattedCitation":"&lt;sup&gt;54&lt;/sup&gt;"},"properties":{"noteIndex":0},"schema":"https://github.com/citation-style-language/schema/raw/master/csl-citation.json"}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(Booth et al. 2003)</w:t>
            </w:r>
            <w:r w:rsidRPr="00101744">
              <w:rPr>
                <w:rFonts w:ascii="Arial" w:eastAsia="Times New Roman" w:hAnsi="Arial" w:cs="Arial"/>
                <w:color w:val="000000"/>
                <w:sz w:val="18"/>
                <w:szCs w:val="18"/>
                <w:lang w:val="en-US" w:eastAsia="pt-PT"/>
              </w:rPr>
              <w:fldChar w:fldCharType="end"/>
            </w:r>
          </w:p>
        </w:tc>
        <w:tc>
          <w:tcPr>
            <w:tcW w:w="709" w:type="dxa"/>
            <w:noWrap/>
            <w:hideMark/>
          </w:tcPr>
          <w:p w14:paraId="02A80A8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11</w:t>
            </w:r>
          </w:p>
        </w:tc>
        <w:tc>
          <w:tcPr>
            <w:tcW w:w="650" w:type="dxa"/>
            <w:noWrap/>
            <w:hideMark/>
          </w:tcPr>
          <w:p w14:paraId="03A9A02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w:t>
            </w:r>
          </w:p>
        </w:tc>
        <w:tc>
          <w:tcPr>
            <w:tcW w:w="517" w:type="dxa"/>
            <w:noWrap/>
            <w:hideMark/>
          </w:tcPr>
          <w:p w14:paraId="1D711B3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c>
          <w:tcPr>
            <w:tcW w:w="767" w:type="dxa"/>
            <w:noWrap/>
            <w:hideMark/>
          </w:tcPr>
          <w:p w14:paraId="172CBAF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25</w:t>
            </w:r>
          </w:p>
        </w:tc>
        <w:tc>
          <w:tcPr>
            <w:tcW w:w="695" w:type="dxa"/>
            <w:noWrap/>
            <w:hideMark/>
          </w:tcPr>
          <w:p w14:paraId="2A0CC18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20-35</w:t>
            </w:r>
          </w:p>
        </w:tc>
        <w:tc>
          <w:tcPr>
            <w:tcW w:w="1907" w:type="dxa"/>
            <w:noWrap/>
            <w:hideMark/>
          </w:tcPr>
          <w:p w14:paraId="466A0212"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N-back reading and semantic discrimination</w:t>
            </w:r>
          </w:p>
        </w:tc>
        <w:tc>
          <w:tcPr>
            <w:tcW w:w="445" w:type="dxa"/>
            <w:noWrap/>
            <w:hideMark/>
          </w:tcPr>
          <w:p w14:paraId="6BDE457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1681" w:type="dxa"/>
            <w:noWrap/>
            <w:hideMark/>
          </w:tcPr>
          <w:p w14:paraId="491ADA90"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1.5T GE</w:t>
            </w:r>
          </w:p>
        </w:tc>
        <w:tc>
          <w:tcPr>
            <w:tcW w:w="1547" w:type="dxa"/>
            <w:noWrap/>
            <w:hideMark/>
          </w:tcPr>
          <w:p w14:paraId="263FB05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745CADE7"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717" w:type="dxa"/>
            <w:noWrap/>
            <w:hideMark/>
          </w:tcPr>
          <w:p w14:paraId="22886EE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3000</w:t>
            </w:r>
          </w:p>
        </w:tc>
        <w:tc>
          <w:tcPr>
            <w:tcW w:w="1146" w:type="dxa"/>
            <w:noWrap/>
            <w:hideMark/>
          </w:tcPr>
          <w:p w14:paraId="6712803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3.43</w:t>
            </w:r>
          </w:p>
        </w:tc>
      </w:tr>
      <w:tr w:rsidR="003D1F45" w:rsidRPr="00101744" w14:paraId="35B97936" w14:textId="77777777" w:rsidTr="00B60BB2">
        <w:trPr>
          <w:trHeight w:val="300"/>
        </w:trPr>
        <w:tc>
          <w:tcPr>
            <w:tcW w:w="2269" w:type="dxa"/>
            <w:vMerge w:val="restart"/>
            <w:noWrap/>
            <w:vAlign w:val="center"/>
            <w:hideMark/>
          </w:tcPr>
          <w:p w14:paraId="45F0BACB" w14:textId="7CE600A3" w:rsidR="003D1F45" w:rsidRPr="00101744" w:rsidRDefault="003D1F45" w:rsidP="00B60BB2">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{"citationItems":[{"id":"ITEM-1","itemData":{"DOI":"10.1002/hbm.10092","ISSN":"1065-9471","PMID":"12599276","abstract":"Printed word frequency can modulate retrieval effort in a task requiring associative semantic judgment. Event-related fMRI, while avoiding stimulus order predictability, is in theory statistically less powerful than block designs. We compared one event-related and two block designs that evaluated the same semantic judgment task and found that similar brain regions demonstrated the word frequency effect. Although the responses were lower in amplitude, event-related fMRI was able to detect the word frequency effect to a comparable degree compared to the block designs. The detection of a frequency effect with the event-related design also suggests that stimulus-order predictability may not be as serious a concern in block designs as might be supposed.","author":[{"dropping-particle":"","family":"Chee","given":"Michael W.L.","non-dropping-particle":"","parse-names":false,"suffix":""},{"dropping-particle":"","family":"Venkatraman","given":"Vinod","non-dropping-particle":"","parse-names":false,"suffix":""},{"dropping-particle":"","family":"Westphal","given":"Christopher","non-dropping-particle":"","parse-names":false,"suffix":""},{"dropping-particle":"","family":"Siong","given":"Soon Chun","non-dropping-particle":"","parse-names":false,"suffix":""}],"container-title":"Human Brain Mapping","id":"ITEM-1","issue":"3","issued":{"date-parts":[["2003","3"]]},"page":"186-193","title":"Comparison of block and event-related fMRI designs in evaluating the word-frequency effect","type":"article-journal","volume":"18"},"uris":["http://www.mendeley.com/documents/?uuid=1c6c3e83-e564-31d0-a538-11a50e3e95b4"]}],"mendeley":{"formattedCitation":"(Chee et al. 2003)","plainTextFormattedCitation":"(Chee et al. 2003)","previouslyFormattedCitation":"&lt;sup&gt;55&lt;/sup&gt;"},"properties":{"noteIndex":0},"schema":"https://github.com/citation-style-language/schema/raw/master/csl-citation.json"}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(Chee et al. 2003)</w:t>
            </w:r>
            <w:r w:rsidRPr="00101744">
              <w:rPr>
                <w:rFonts w:ascii="Arial" w:eastAsia="Times New Roman" w:hAnsi="Arial" w:cs="Arial"/>
                <w:color w:val="000000"/>
                <w:sz w:val="18"/>
                <w:szCs w:val="18"/>
                <w:lang w:val="en-US" w:eastAsia="pt-PT"/>
              </w:rPr>
              <w:fldChar w:fldCharType="end"/>
            </w:r>
          </w:p>
          <w:p w14:paraId="3F3ACD9F" w14:textId="77777777" w:rsidR="003D1F45" w:rsidRPr="00101744" w:rsidRDefault="003D1F45" w:rsidP="00B60BB2">
            <w:pPr>
              <w:jc w:val="center"/>
              <w:rPr>
                <w:rFonts w:ascii="Arial" w:eastAsia="Times New Roman" w:hAnsi="Arial" w:cs="Arial"/>
                <w:b/>
                <w:bCs/>
                <w:color w:val="000000"/>
                <w:sz w:val="18"/>
                <w:szCs w:val="18"/>
                <w:lang w:val="en-US" w:eastAsia="pt-PT"/>
              </w:rPr>
            </w:pPr>
          </w:p>
        </w:tc>
        <w:tc>
          <w:tcPr>
            <w:tcW w:w="709" w:type="dxa"/>
            <w:noWrap/>
            <w:hideMark/>
          </w:tcPr>
          <w:p w14:paraId="4DEF185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68868C3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517" w:type="dxa"/>
            <w:noWrap/>
            <w:hideMark/>
          </w:tcPr>
          <w:p w14:paraId="0CBCF69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c>
          <w:tcPr>
            <w:tcW w:w="767" w:type="dxa"/>
            <w:noWrap/>
            <w:hideMark/>
          </w:tcPr>
          <w:p w14:paraId="484BC615"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95" w:type="dxa"/>
            <w:noWrap/>
            <w:hideMark/>
          </w:tcPr>
          <w:p w14:paraId="1DFAF05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19-26</w:t>
            </w:r>
          </w:p>
        </w:tc>
        <w:tc>
          <w:tcPr>
            <w:tcW w:w="1907" w:type="dxa"/>
            <w:noWrap/>
            <w:hideMark/>
          </w:tcPr>
          <w:p w14:paraId="3EE2215A"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 semantic discrimination</w:t>
            </w:r>
          </w:p>
        </w:tc>
        <w:tc>
          <w:tcPr>
            <w:tcW w:w="445" w:type="dxa"/>
            <w:noWrap/>
            <w:hideMark/>
          </w:tcPr>
          <w:p w14:paraId="04264FF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11</w:t>
            </w:r>
          </w:p>
        </w:tc>
        <w:tc>
          <w:tcPr>
            <w:tcW w:w="1681" w:type="dxa"/>
            <w:noWrap/>
            <w:hideMark/>
          </w:tcPr>
          <w:p w14:paraId="4CD586A6"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2T </w:t>
            </w:r>
            <w:proofErr w:type="spellStart"/>
            <w:r w:rsidRPr="00101744">
              <w:rPr>
                <w:rFonts w:ascii="Arial" w:eastAsia="Times New Roman" w:hAnsi="Arial" w:cs="Arial"/>
                <w:color w:val="000000"/>
                <w:sz w:val="18"/>
                <w:szCs w:val="18"/>
                <w:lang w:val="en-US" w:eastAsia="pt-PT"/>
              </w:rPr>
              <w:t>Tomikon</w:t>
            </w:r>
            <w:proofErr w:type="spellEnd"/>
            <w:r w:rsidRPr="00101744">
              <w:rPr>
                <w:rFonts w:ascii="Arial" w:eastAsia="Times New Roman" w:hAnsi="Arial" w:cs="Arial"/>
                <w:color w:val="000000"/>
                <w:sz w:val="18"/>
                <w:szCs w:val="18"/>
                <w:lang w:val="en-US" w:eastAsia="pt-PT"/>
              </w:rPr>
              <w:t xml:space="preserve"> Bruker</w:t>
            </w:r>
          </w:p>
        </w:tc>
        <w:tc>
          <w:tcPr>
            <w:tcW w:w="1547" w:type="dxa"/>
            <w:noWrap/>
            <w:hideMark/>
          </w:tcPr>
          <w:p w14:paraId="369B6DB0"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Brainvoyager</w:t>
            </w:r>
            <w:proofErr w:type="spellEnd"/>
            <w:r w:rsidRPr="00101744">
              <w:rPr>
                <w:rFonts w:ascii="Arial" w:eastAsia="Times New Roman" w:hAnsi="Arial" w:cs="Arial"/>
                <w:color w:val="000000"/>
                <w:sz w:val="18"/>
                <w:szCs w:val="18"/>
                <w:lang w:val="en-US" w:eastAsia="pt-PT"/>
              </w:rPr>
              <w:t xml:space="preserve"> 2000 v.4.6</w:t>
            </w:r>
          </w:p>
        </w:tc>
        <w:tc>
          <w:tcPr>
            <w:tcW w:w="1855" w:type="dxa"/>
            <w:noWrap/>
            <w:hideMark/>
          </w:tcPr>
          <w:p w14:paraId="03CBDB8C"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3EB23ED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6" w:type="dxa"/>
            <w:noWrap/>
            <w:hideMark/>
          </w:tcPr>
          <w:p w14:paraId="57215B5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r>
      <w:tr w:rsidR="003D1F45" w:rsidRPr="00101744" w14:paraId="3C9790C3" w14:textId="77777777" w:rsidTr="00B60BB2">
        <w:trPr>
          <w:trHeight w:val="300"/>
        </w:trPr>
        <w:tc>
          <w:tcPr>
            <w:tcW w:w="2269" w:type="dxa"/>
            <w:vMerge/>
            <w:vAlign w:val="center"/>
            <w:hideMark/>
          </w:tcPr>
          <w:p w14:paraId="276BE256" w14:textId="77777777" w:rsidR="003D1F45" w:rsidRPr="00101744" w:rsidRDefault="003D1F45" w:rsidP="00B60BB2">
            <w:pPr>
              <w:rPr>
                <w:rFonts w:ascii="Arial" w:eastAsia="Times New Roman" w:hAnsi="Arial" w:cs="Arial"/>
                <w:b/>
                <w:bCs/>
                <w:color w:val="000000"/>
                <w:sz w:val="18"/>
                <w:szCs w:val="18"/>
                <w:lang w:val="en-US" w:eastAsia="pt-PT"/>
              </w:rPr>
            </w:pPr>
          </w:p>
        </w:tc>
        <w:tc>
          <w:tcPr>
            <w:tcW w:w="709" w:type="dxa"/>
            <w:noWrap/>
            <w:hideMark/>
          </w:tcPr>
          <w:p w14:paraId="70D6CF4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650" w:type="dxa"/>
            <w:noWrap/>
            <w:hideMark/>
          </w:tcPr>
          <w:p w14:paraId="7BDB1FB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c>
          <w:tcPr>
            <w:tcW w:w="517" w:type="dxa"/>
            <w:noWrap/>
            <w:hideMark/>
          </w:tcPr>
          <w:p w14:paraId="205DE8E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c>
          <w:tcPr>
            <w:tcW w:w="767" w:type="dxa"/>
            <w:noWrap/>
            <w:hideMark/>
          </w:tcPr>
          <w:p w14:paraId="4DBC01BD"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95" w:type="dxa"/>
            <w:noWrap/>
            <w:hideMark/>
          </w:tcPr>
          <w:p w14:paraId="409B8F1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21-30</w:t>
            </w:r>
          </w:p>
        </w:tc>
        <w:tc>
          <w:tcPr>
            <w:tcW w:w="1907" w:type="dxa"/>
            <w:noWrap/>
            <w:hideMark/>
          </w:tcPr>
          <w:p w14:paraId="2ACE5B79"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 semantic discrimination</w:t>
            </w:r>
          </w:p>
        </w:tc>
        <w:tc>
          <w:tcPr>
            <w:tcW w:w="445" w:type="dxa"/>
            <w:noWrap/>
            <w:hideMark/>
          </w:tcPr>
          <w:p w14:paraId="4998082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9</w:t>
            </w:r>
          </w:p>
        </w:tc>
        <w:tc>
          <w:tcPr>
            <w:tcW w:w="1681" w:type="dxa"/>
            <w:noWrap/>
            <w:hideMark/>
          </w:tcPr>
          <w:p w14:paraId="687E6A4E" w14:textId="77777777" w:rsidR="003D1F45" w:rsidRPr="00101744" w:rsidRDefault="003D1F45" w:rsidP="00B60BB2">
            <w:pPr>
              <w:rPr>
                <w:rFonts w:ascii="Arial" w:eastAsia="Times New Roman" w:hAnsi="Arial" w:cs="Arial"/>
                <w:color w:val="000000"/>
                <w:sz w:val="18"/>
                <w:szCs w:val="18"/>
                <w:lang w:val="en-US" w:eastAsia="pt-PT"/>
              </w:rPr>
            </w:pPr>
          </w:p>
        </w:tc>
        <w:tc>
          <w:tcPr>
            <w:tcW w:w="1547" w:type="dxa"/>
            <w:noWrap/>
            <w:hideMark/>
          </w:tcPr>
          <w:p w14:paraId="54C128DF" w14:textId="77777777" w:rsidR="003D1F45" w:rsidRPr="00101744" w:rsidRDefault="003D1F45" w:rsidP="00B60BB2">
            <w:pPr>
              <w:jc w:val="center"/>
              <w:rPr>
                <w:rFonts w:ascii="Arial" w:eastAsia="Times New Roman" w:hAnsi="Arial" w:cs="Arial"/>
                <w:sz w:val="18"/>
                <w:szCs w:val="18"/>
                <w:lang w:val="en-US" w:eastAsia="pt-PT"/>
              </w:rPr>
            </w:pPr>
          </w:p>
        </w:tc>
        <w:tc>
          <w:tcPr>
            <w:tcW w:w="1855" w:type="dxa"/>
            <w:noWrap/>
            <w:hideMark/>
          </w:tcPr>
          <w:p w14:paraId="1149DA7E" w14:textId="77777777" w:rsidR="003D1F45" w:rsidRPr="00101744" w:rsidRDefault="003D1F45" w:rsidP="00B60BB2">
            <w:pPr>
              <w:jc w:val="center"/>
              <w:rPr>
                <w:rFonts w:ascii="Arial" w:eastAsia="Times New Roman" w:hAnsi="Arial" w:cs="Arial"/>
                <w:sz w:val="18"/>
                <w:szCs w:val="18"/>
                <w:lang w:val="en-US" w:eastAsia="pt-PT"/>
              </w:rPr>
            </w:pPr>
          </w:p>
        </w:tc>
        <w:tc>
          <w:tcPr>
            <w:tcW w:w="717" w:type="dxa"/>
            <w:noWrap/>
            <w:hideMark/>
          </w:tcPr>
          <w:p w14:paraId="594FC154" w14:textId="77777777" w:rsidR="003D1F45" w:rsidRPr="00101744" w:rsidRDefault="003D1F45" w:rsidP="00B60BB2">
            <w:pPr>
              <w:jc w:val="center"/>
              <w:rPr>
                <w:rFonts w:ascii="Arial" w:eastAsia="Times New Roman" w:hAnsi="Arial" w:cs="Arial"/>
                <w:sz w:val="18"/>
                <w:szCs w:val="18"/>
                <w:lang w:val="en-US" w:eastAsia="pt-PT"/>
              </w:rPr>
            </w:pPr>
          </w:p>
        </w:tc>
        <w:tc>
          <w:tcPr>
            <w:tcW w:w="1146" w:type="dxa"/>
            <w:noWrap/>
            <w:hideMark/>
          </w:tcPr>
          <w:p w14:paraId="63B89E23" w14:textId="77777777" w:rsidR="003D1F45" w:rsidRPr="00101744" w:rsidRDefault="003D1F45" w:rsidP="00B60BB2">
            <w:pPr>
              <w:jc w:val="center"/>
              <w:rPr>
                <w:rFonts w:ascii="Arial" w:eastAsia="Times New Roman" w:hAnsi="Arial" w:cs="Arial"/>
                <w:sz w:val="18"/>
                <w:szCs w:val="18"/>
                <w:lang w:val="en-US" w:eastAsia="pt-PT"/>
              </w:rPr>
            </w:pPr>
          </w:p>
        </w:tc>
      </w:tr>
      <w:tr w:rsidR="003D1F45" w:rsidRPr="00101744" w14:paraId="2C5F5144" w14:textId="77777777" w:rsidTr="00B60BB2">
        <w:trPr>
          <w:trHeight w:val="300"/>
        </w:trPr>
        <w:tc>
          <w:tcPr>
            <w:tcW w:w="2269" w:type="dxa"/>
            <w:vMerge/>
            <w:vAlign w:val="center"/>
            <w:hideMark/>
          </w:tcPr>
          <w:p w14:paraId="1D995FD6" w14:textId="77777777" w:rsidR="003D1F45" w:rsidRPr="00101744" w:rsidRDefault="003D1F45" w:rsidP="00B60BB2">
            <w:pPr>
              <w:rPr>
                <w:rFonts w:ascii="Arial" w:eastAsia="Times New Roman" w:hAnsi="Arial" w:cs="Arial"/>
                <w:b/>
                <w:bCs/>
                <w:color w:val="000000"/>
                <w:sz w:val="18"/>
                <w:szCs w:val="18"/>
                <w:lang w:val="en-US" w:eastAsia="pt-PT"/>
              </w:rPr>
            </w:pPr>
          </w:p>
        </w:tc>
        <w:tc>
          <w:tcPr>
            <w:tcW w:w="709" w:type="dxa"/>
            <w:noWrap/>
            <w:hideMark/>
          </w:tcPr>
          <w:p w14:paraId="1FFE43C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787BC5A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517" w:type="dxa"/>
            <w:noWrap/>
            <w:hideMark/>
          </w:tcPr>
          <w:p w14:paraId="3F5A314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c>
          <w:tcPr>
            <w:tcW w:w="767" w:type="dxa"/>
            <w:noWrap/>
            <w:hideMark/>
          </w:tcPr>
          <w:p w14:paraId="0221E8E2"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95" w:type="dxa"/>
            <w:noWrap/>
            <w:hideMark/>
          </w:tcPr>
          <w:p w14:paraId="69EFE96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18-23</w:t>
            </w:r>
          </w:p>
        </w:tc>
        <w:tc>
          <w:tcPr>
            <w:tcW w:w="1907" w:type="dxa"/>
            <w:noWrap/>
            <w:hideMark/>
          </w:tcPr>
          <w:p w14:paraId="33D95927"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 semantic discrimination</w:t>
            </w:r>
          </w:p>
        </w:tc>
        <w:tc>
          <w:tcPr>
            <w:tcW w:w="445" w:type="dxa"/>
            <w:noWrap/>
            <w:hideMark/>
          </w:tcPr>
          <w:p w14:paraId="343E040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w:t>
            </w:r>
          </w:p>
        </w:tc>
        <w:tc>
          <w:tcPr>
            <w:tcW w:w="1681" w:type="dxa"/>
            <w:noWrap/>
            <w:hideMark/>
          </w:tcPr>
          <w:p w14:paraId="4A2CAE92" w14:textId="77777777" w:rsidR="003D1F45" w:rsidRPr="00101744" w:rsidRDefault="003D1F45" w:rsidP="00B60BB2">
            <w:pPr>
              <w:rPr>
                <w:rFonts w:ascii="Arial" w:eastAsia="Times New Roman" w:hAnsi="Arial" w:cs="Arial"/>
                <w:color w:val="000000"/>
                <w:sz w:val="18"/>
                <w:szCs w:val="18"/>
                <w:lang w:val="en-US" w:eastAsia="pt-PT"/>
              </w:rPr>
            </w:pPr>
          </w:p>
        </w:tc>
        <w:tc>
          <w:tcPr>
            <w:tcW w:w="1547" w:type="dxa"/>
            <w:noWrap/>
            <w:hideMark/>
          </w:tcPr>
          <w:p w14:paraId="2F31FBD2" w14:textId="77777777" w:rsidR="003D1F45" w:rsidRPr="00101744" w:rsidRDefault="003D1F45" w:rsidP="00B60BB2">
            <w:pPr>
              <w:jc w:val="center"/>
              <w:rPr>
                <w:rFonts w:ascii="Arial" w:eastAsia="Times New Roman" w:hAnsi="Arial" w:cs="Arial"/>
                <w:sz w:val="18"/>
                <w:szCs w:val="18"/>
                <w:lang w:val="en-US" w:eastAsia="pt-PT"/>
              </w:rPr>
            </w:pPr>
          </w:p>
        </w:tc>
        <w:tc>
          <w:tcPr>
            <w:tcW w:w="1855" w:type="dxa"/>
            <w:noWrap/>
            <w:hideMark/>
          </w:tcPr>
          <w:p w14:paraId="2B966688" w14:textId="77777777" w:rsidR="003D1F45" w:rsidRPr="00101744" w:rsidRDefault="003D1F45" w:rsidP="00B60BB2">
            <w:pPr>
              <w:jc w:val="center"/>
              <w:rPr>
                <w:rFonts w:ascii="Arial" w:eastAsia="Times New Roman" w:hAnsi="Arial" w:cs="Arial"/>
                <w:sz w:val="18"/>
                <w:szCs w:val="18"/>
                <w:lang w:val="en-US" w:eastAsia="pt-PT"/>
              </w:rPr>
            </w:pPr>
          </w:p>
        </w:tc>
        <w:tc>
          <w:tcPr>
            <w:tcW w:w="717" w:type="dxa"/>
            <w:noWrap/>
            <w:hideMark/>
          </w:tcPr>
          <w:p w14:paraId="43E82E92" w14:textId="77777777" w:rsidR="003D1F45" w:rsidRPr="00101744" w:rsidRDefault="003D1F45" w:rsidP="00B60BB2">
            <w:pPr>
              <w:jc w:val="center"/>
              <w:rPr>
                <w:rFonts w:ascii="Arial" w:eastAsia="Times New Roman" w:hAnsi="Arial" w:cs="Arial"/>
                <w:sz w:val="18"/>
                <w:szCs w:val="18"/>
                <w:lang w:val="en-US" w:eastAsia="pt-PT"/>
              </w:rPr>
            </w:pPr>
          </w:p>
        </w:tc>
        <w:tc>
          <w:tcPr>
            <w:tcW w:w="1146" w:type="dxa"/>
            <w:noWrap/>
            <w:hideMark/>
          </w:tcPr>
          <w:p w14:paraId="3D4F7599" w14:textId="77777777" w:rsidR="003D1F45" w:rsidRPr="00101744" w:rsidRDefault="003D1F45" w:rsidP="00B60BB2">
            <w:pPr>
              <w:jc w:val="center"/>
              <w:rPr>
                <w:rFonts w:ascii="Arial" w:eastAsia="Times New Roman" w:hAnsi="Arial" w:cs="Arial"/>
                <w:sz w:val="18"/>
                <w:szCs w:val="18"/>
                <w:lang w:val="en-US" w:eastAsia="pt-PT"/>
              </w:rPr>
            </w:pPr>
          </w:p>
        </w:tc>
      </w:tr>
      <w:tr w:rsidR="003D1F45" w:rsidRPr="00101744" w14:paraId="554A3219" w14:textId="77777777" w:rsidTr="00B60BB2">
        <w:trPr>
          <w:trHeight w:val="300"/>
        </w:trPr>
        <w:tc>
          <w:tcPr>
            <w:tcW w:w="2269" w:type="dxa"/>
            <w:noWrap/>
            <w:vAlign w:val="center"/>
            <w:hideMark/>
          </w:tcPr>
          <w:p w14:paraId="5FBD59A5" w14:textId="2AFCF8D3"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 xml:space="preserve">ADDIN CSL_CITATION {"citationItems":[{"id":"ITEM-1","itemData":{"DOI":"10.1162/089892903321593108","ISSN":"0898-929X","PMID":"12729490","abstract":"People can discriminate real words from nonwords even when the latter are orthographically and phonologically word-like, presumably because words activate specific lexical and/or semantic information. We investigated the neural correlates of this identification process using event-related functional magnetic resonance imaging (fMRI). Participants performed a visual lexical decision task under conditions that encouraged specific word identification: Nonwords were matched to words on orthographic and phonologic characteristics, and accuracy was emphasized over speed. To identify neural responses associated with activation of nonsemantic lexical information, processing of words and nonwords with many lexical neighbors was contrasted with processing of items with no neighbors. The fMRI data showed robust differences in activation by words and word-like nonwords, with stronger word activation occurring in a distributed, left hemisphere network previously associated with semantic processing, and stronger nonword activation occurring in a posterior inferior frontal area previously associated with grapheme-to-phoneme mapping. Contrary to lexicon-based models of word recognition, there were no brain areas in which activation increased with neighborhood size. For words, activation in the left prefrontal, angular gyrus, and ventrolateral temporal areas was stronger for items without neighbors, probably because accurate responses to these items were more dependent on activation of semantic information. The results show neural correlates of access to specific word information. The absence of facilitatory lexical neighborhood effects on activation in these brain regions argues for an interpretation in terms of semantic access. Because subjects performed the same task throughout, the results are unlikely to be due to task-specific attentional, </w:instrText>
            </w:r>
            <w:r w:rsidR="00C14016" w:rsidRPr="00C14016">
              <w:rPr>
                <w:rFonts w:ascii="Arial" w:hAnsi="Arial" w:cs="Arial"/>
                <w:color w:val="000000"/>
                <w:sz w:val="18"/>
                <w:szCs w:val="18"/>
                <w:lang w:val="en-GB" w:eastAsia="pt-PT"/>
              </w:rPr>
              <w:instrText>strategic, or expectancy effects.","author":[{"dropping-particle":"","family":"Binder","given":"J. R.","non-dropping-particle":"","parse-names":false,"suffix":""},{"dropping-particle":"","family":"McKiernan","given":"K. A.","non-dropping-particle":"","parse-names":false,"suffix":""},{"dropping-particle":"","family":"Parsons","given":"M. E.","non-dropping-particle":"","parse-names":false,"suffix":""},{"dropping-particle":"","family":"Westbury","given":"C. F.","non-dropping-particle":"","parse-names":false,"suffix":""},{"dropping-particle":"","family":"Possing","given":"E. T.","non-dropping-particle":"","parse-names":false,"suffix":""},{"dropping-particle":"","family":"Kaufman","given":"J. N.","non-dropping-particle":"","parse-names":false,"suffix":""},{"dropping-particle":"","family":"Buchanan","given":"L.","non-dropping-particle":"","parse-names":false,"suffix":""}],"container-title":"Journal of Cognitive Neuroscience","id":"ITEM-1","issue":"3","issued":{"date-parts":[["2003","4","1"]]},"page":"372-393","title":"Neural Correlates of Lexical Access during Visual Word Recognition","type":"article-journal","volume":"15"},"uris":["http://www.mendeley.com/documents/?uuid=835302f5-7a7b-3e17-90fa-e4e1ad59016f"]}],"mendeley":{"formattedCitation":"(Binder et al. 2003)","plainTextFormattedCitation":"(Binder et al. 2003)","previouslyFormattedCitation":"&lt;sup&gt;56&lt;/sup&gt;"},"properties":{"noteIndex":0},"schema":"https://github.com/citation-style-language/schema/raw/master/csl-citation.json"}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(Binder et al. 2003)</w:t>
            </w:r>
            <w:r w:rsidRPr="00101744">
              <w:rPr>
                <w:rFonts w:ascii="Arial" w:eastAsia="Times New Roman" w:hAnsi="Arial" w:cs="Arial"/>
                <w:color w:val="000000"/>
                <w:sz w:val="18"/>
                <w:szCs w:val="18"/>
                <w:lang w:val="en-US" w:eastAsia="pt-PT"/>
              </w:rPr>
              <w:fldChar w:fldCharType="end"/>
            </w:r>
          </w:p>
        </w:tc>
        <w:tc>
          <w:tcPr>
            <w:tcW w:w="709" w:type="dxa"/>
            <w:noWrap/>
            <w:hideMark/>
          </w:tcPr>
          <w:p w14:paraId="7E24F4C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24</w:t>
            </w:r>
          </w:p>
        </w:tc>
        <w:tc>
          <w:tcPr>
            <w:tcW w:w="650" w:type="dxa"/>
            <w:noWrap/>
            <w:hideMark/>
          </w:tcPr>
          <w:p w14:paraId="6ACEFDA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9</w:t>
            </w:r>
          </w:p>
        </w:tc>
        <w:tc>
          <w:tcPr>
            <w:tcW w:w="517" w:type="dxa"/>
            <w:noWrap/>
            <w:hideMark/>
          </w:tcPr>
          <w:p w14:paraId="21E5289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w:t>
            </w:r>
          </w:p>
        </w:tc>
        <w:tc>
          <w:tcPr>
            <w:tcW w:w="767" w:type="dxa"/>
            <w:noWrap/>
            <w:hideMark/>
          </w:tcPr>
          <w:p w14:paraId="6F51E7C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25</w:t>
            </w:r>
          </w:p>
        </w:tc>
        <w:tc>
          <w:tcPr>
            <w:tcW w:w="695" w:type="dxa"/>
            <w:noWrap/>
            <w:hideMark/>
          </w:tcPr>
          <w:p w14:paraId="343520A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18-49</w:t>
            </w:r>
          </w:p>
        </w:tc>
        <w:tc>
          <w:tcPr>
            <w:tcW w:w="1907" w:type="dxa"/>
            <w:noWrap/>
            <w:hideMark/>
          </w:tcPr>
          <w:p w14:paraId="753331A2"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Reading words and </w:t>
            </w:r>
            <w:proofErr w:type="spellStart"/>
            <w:r w:rsidRPr="00101744">
              <w:rPr>
                <w:rFonts w:ascii="Arial" w:eastAsia="Times New Roman" w:hAnsi="Arial" w:cs="Arial"/>
                <w:color w:val="000000"/>
                <w:sz w:val="18"/>
                <w:szCs w:val="18"/>
                <w:lang w:val="en-US" w:eastAsia="pt-PT"/>
              </w:rPr>
              <w:t>pseudowords</w:t>
            </w:r>
            <w:proofErr w:type="spellEnd"/>
          </w:p>
        </w:tc>
        <w:tc>
          <w:tcPr>
            <w:tcW w:w="445" w:type="dxa"/>
            <w:noWrap/>
            <w:hideMark/>
          </w:tcPr>
          <w:p w14:paraId="48041B2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82</w:t>
            </w:r>
          </w:p>
        </w:tc>
        <w:tc>
          <w:tcPr>
            <w:tcW w:w="1681" w:type="dxa"/>
            <w:noWrap/>
            <w:hideMark/>
          </w:tcPr>
          <w:p w14:paraId="6093429F"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1.5T </w:t>
            </w:r>
            <w:proofErr w:type="spellStart"/>
            <w:r w:rsidRPr="00101744">
              <w:rPr>
                <w:rFonts w:ascii="Arial" w:eastAsia="Times New Roman" w:hAnsi="Arial" w:cs="Arial"/>
                <w:color w:val="000000"/>
                <w:sz w:val="18"/>
                <w:szCs w:val="18"/>
                <w:lang w:val="en-US" w:eastAsia="pt-PT"/>
              </w:rPr>
              <w:t>Signa</w:t>
            </w:r>
            <w:proofErr w:type="spellEnd"/>
            <w:r w:rsidRPr="00101744">
              <w:rPr>
                <w:rFonts w:ascii="Arial" w:eastAsia="Times New Roman" w:hAnsi="Arial" w:cs="Arial"/>
                <w:color w:val="000000"/>
                <w:sz w:val="18"/>
                <w:szCs w:val="18"/>
                <w:lang w:val="en-US" w:eastAsia="pt-PT"/>
              </w:rPr>
              <w:t xml:space="preserve"> GE</w:t>
            </w:r>
          </w:p>
        </w:tc>
        <w:tc>
          <w:tcPr>
            <w:tcW w:w="1547" w:type="dxa"/>
            <w:noWrap/>
            <w:hideMark/>
          </w:tcPr>
          <w:p w14:paraId="0C6FAD3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AFNI</w:t>
            </w:r>
          </w:p>
        </w:tc>
        <w:tc>
          <w:tcPr>
            <w:tcW w:w="1855" w:type="dxa"/>
            <w:noWrap/>
            <w:hideMark/>
          </w:tcPr>
          <w:p w14:paraId="335526EB"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&lt;0.01</w:t>
            </w:r>
          </w:p>
        </w:tc>
        <w:tc>
          <w:tcPr>
            <w:tcW w:w="717" w:type="dxa"/>
            <w:noWrap/>
            <w:hideMark/>
          </w:tcPr>
          <w:p w14:paraId="64C2DC9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6" w:type="dxa"/>
            <w:noWrap/>
            <w:hideMark/>
          </w:tcPr>
          <w:p w14:paraId="229550D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3.75</w:t>
            </w:r>
          </w:p>
        </w:tc>
      </w:tr>
      <w:tr w:rsidR="003D1F45" w:rsidRPr="00101744" w14:paraId="730A223A" w14:textId="77777777" w:rsidTr="00B60BB2">
        <w:trPr>
          <w:trHeight w:val="300"/>
        </w:trPr>
        <w:tc>
          <w:tcPr>
            <w:tcW w:w="2269" w:type="dxa"/>
            <w:noWrap/>
            <w:vAlign w:val="center"/>
            <w:hideMark/>
          </w:tcPr>
          <w:p w14:paraId="1A70D090" w14:textId="27F22D90"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 xml:space="preserve">ADDIN CSL_CITATION {"citationItems":[{"id":"ITEM-1","itemData":{"ISSN":"0006-8950","PMID":"11133788","abstract":"The changes in brain activity related to skill learning and repetition priming in a mirror-reading task were examined using functional MRI. Subjects exhibited significant learning across five training sessions and this learning generalized significantly to different spatial transformations (inverted-mirror reversed text and normal letters spelled backwards). Mirror reading, compared with reading normal text, was associated with extensive activation in occipital, temporal, parietal and frontal regions. Learning to read mirror-reversed (MR) text was associated with increased activation in left inferior temporal, striatal, left inferior prefrontal and right cerebellar regions and with decreased activity in the left hippocampus and left cerebellum. Short-term repetition priming was associated with reduced activity in many of the regions active during mirror reading and extensive item-specific practice (long-term repetition priming) resulted in a virtual elimination of activity in those regions. Short- and long-term repetition priming thus appeared to rely upon common neural mechanisms. Nearly all of the regions exhibiting significant learning-related changes also exhibited increased repetition priming effects, suggesting common neural substrates for priming </w:instrText>
            </w:r>
            <w:r w:rsidR="00C14016">
              <w:rPr>
                <w:rFonts w:ascii="Arial" w:hAnsi="Arial" w:cs="Arial"/>
                <w:color w:val="000000"/>
                <w:sz w:val="18"/>
                <w:szCs w:val="18"/>
                <w:lang w:eastAsia="pt-PT"/>
              </w:rPr>
              <w:instrText>and skill learning in this task. Comparison of MR items with other spatially transformed typographies showed that the learning-related changes were general to all of the spatial transformations. The results confirm the importance of striatofrontal neural networks for the acquisition of skills, and suggest that skill learning and repetition priming may have common substrates within a particular task.","author":[{"dropping-particle":"","family":"Poldrack","given":"R A","non-dropping-particle":"","parse-names":false,"suffix":""},{"dropping-particle":"","family":"Gabrieli","given":"J D","non-dropping-particle":"","parse-names":false,"suffix":""}],"container-title":"Brain : a journal of neurology","id":"ITEM-1","issue":"Pt 1","issued":{"date-parts":[["2001","1"]]},"page":"67-82","title":"Characterizing the neural mechanisms of skill learning and repetition priming: evidence from mirror reading.","type":"article-journal","volume":"124"},"uris":["http://www.mendeley.com/documents/?uuid=252d8553-7c64-38ca-9776-28b1591406d1"]}],"mendeley":{"formattedCitation":"(Poldrack and Gabrieli 2001)","plainTextFormattedCitation":"(Poldrack and Gabrieli 2001)","previouslyFormattedCitation":"&lt;sup&gt;57&lt;/sup&gt;"},"properties":{"noteIndex":0},"schema":"https://github.com/citation-style-language/schema/raw/master/csl-citation.json"}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(Poldrack and Gabrieli 2001)</w:t>
            </w:r>
            <w:r w:rsidRPr="00101744">
              <w:rPr>
                <w:rFonts w:ascii="Arial" w:eastAsia="Times New Roman" w:hAnsi="Arial" w:cs="Arial"/>
                <w:color w:val="000000"/>
                <w:sz w:val="18"/>
                <w:szCs w:val="18"/>
                <w:lang w:val="en-US" w:eastAsia="pt-PT"/>
              </w:rPr>
              <w:fldChar w:fldCharType="end"/>
            </w:r>
          </w:p>
        </w:tc>
        <w:tc>
          <w:tcPr>
            <w:tcW w:w="709" w:type="dxa"/>
            <w:noWrap/>
            <w:hideMark/>
          </w:tcPr>
          <w:p w14:paraId="74FDD1D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16</w:t>
            </w:r>
          </w:p>
        </w:tc>
        <w:tc>
          <w:tcPr>
            <w:tcW w:w="650" w:type="dxa"/>
            <w:noWrap/>
            <w:hideMark/>
          </w:tcPr>
          <w:p w14:paraId="48691C4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7</w:t>
            </w:r>
          </w:p>
        </w:tc>
        <w:tc>
          <w:tcPr>
            <w:tcW w:w="517" w:type="dxa"/>
            <w:noWrap/>
            <w:hideMark/>
          </w:tcPr>
          <w:p w14:paraId="036E6F3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9</w:t>
            </w:r>
          </w:p>
        </w:tc>
        <w:tc>
          <w:tcPr>
            <w:tcW w:w="767" w:type="dxa"/>
            <w:noWrap/>
            <w:hideMark/>
          </w:tcPr>
          <w:p w14:paraId="3EAC626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w:t>
            </w:r>
          </w:p>
        </w:tc>
        <w:tc>
          <w:tcPr>
            <w:tcW w:w="695" w:type="dxa"/>
            <w:noWrap/>
            <w:hideMark/>
          </w:tcPr>
          <w:p w14:paraId="7647B459"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907" w:type="dxa"/>
            <w:noWrap/>
            <w:hideMark/>
          </w:tcPr>
          <w:p w14:paraId="37DEBD9B"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Reading words and </w:t>
            </w:r>
            <w:proofErr w:type="spellStart"/>
            <w:r w:rsidRPr="00101744">
              <w:rPr>
                <w:rFonts w:ascii="Arial" w:eastAsia="Times New Roman" w:hAnsi="Arial" w:cs="Arial"/>
                <w:color w:val="000000"/>
                <w:sz w:val="18"/>
                <w:szCs w:val="18"/>
                <w:lang w:val="en-US" w:eastAsia="pt-PT"/>
              </w:rPr>
              <w:t>pseudowords</w:t>
            </w:r>
            <w:proofErr w:type="spellEnd"/>
          </w:p>
        </w:tc>
        <w:tc>
          <w:tcPr>
            <w:tcW w:w="445" w:type="dxa"/>
            <w:noWrap/>
            <w:hideMark/>
          </w:tcPr>
          <w:p w14:paraId="771CC62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54</w:t>
            </w:r>
          </w:p>
        </w:tc>
        <w:tc>
          <w:tcPr>
            <w:tcW w:w="1681" w:type="dxa"/>
            <w:noWrap/>
            <w:hideMark/>
          </w:tcPr>
          <w:p w14:paraId="25EA1CF6"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1.5T </w:t>
            </w:r>
            <w:proofErr w:type="spellStart"/>
            <w:r w:rsidRPr="00101744">
              <w:rPr>
                <w:rFonts w:ascii="Arial" w:eastAsia="Times New Roman" w:hAnsi="Arial" w:cs="Arial"/>
                <w:color w:val="000000"/>
                <w:sz w:val="18"/>
                <w:szCs w:val="18"/>
                <w:lang w:val="en-US" w:eastAsia="pt-PT"/>
              </w:rPr>
              <w:t>Signa</w:t>
            </w:r>
            <w:proofErr w:type="spellEnd"/>
            <w:r w:rsidRPr="00101744">
              <w:rPr>
                <w:rFonts w:ascii="Arial" w:eastAsia="Times New Roman" w:hAnsi="Arial" w:cs="Arial"/>
                <w:color w:val="000000"/>
                <w:sz w:val="18"/>
                <w:szCs w:val="18"/>
                <w:lang w:val="en-US" w:eastAsia="pt-PT"/>
              </w:rPr>
              <w:t xml:space="preserve"> GE</w:t>
            </w:r>
          </w:p>
        </w:tc>
        <w:tc>
          <w:tcPr>
            <w:tcW w:w="1547" w:type="dxa"/>
            <w:noWrap/>
            <w:hideMark/>
          </w:tcPr>
          <w:p w14:paraId="2165C0B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579FF56A"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2E96CCC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2880</w:t>
            </w:r>
          </w:p>
        </w:tc>
        <w:tc>
          <w:tcPr>
            <w:tcW w:w="1146" w:type="dxa"/>
            <w:noWrap/>
            <w:hideMark/>
          </w:tcPr>
          <w:p w14:paraId="6A3AF65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2.9</w:t>
            </w:r>
          </w:p>
        </w:tc>
      </w:tr>
      <w:tr w:rsidR="003D1F45" w:rsidRPr="00101744" w14:paraId="2EC2DB65" w14:textId="77777777" w:rsidTr="00B60BB2">
        <w:trPr>
          <w:trHeight w:val="300"/>
        </w:trPr>
        <w:tc>
          <w:tcPr>
            <w:tcW w:w="2269" w:type="dxa"/>
            <w:noWrap/>
            <w:vAlign w:val="center"/>
            <w:hideMark/>
          </w:tcPr>
          <w:p w14:paraId="66D0001B" w14:textId="6FAB52C8"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{"citationItems":[{"id":"ITEM-1","itemData":{"ISSN":"0898-929X","PMID":"10771412","abstract":"Brain activation studies of orthographic stimuli typically start with the premise that different types of orthographic strings (e.g., words, pseudowords) differ from each other in discrete ways, which should be reflected in separate and distinct areas of brain activation. The present study starts from a different premise: Words, pseudowords, letterstrings, and false fonts vary systematically across a continuous dimension of familiarity to English readers. Using a one-back matching task to force encoding of the stimuli, the four types of stimuli were visually presented to healthy adult subjects while fMRI activations were obtained. Data analysis focused on parametric comparisons of fMRI activation sites. We did not find any region that was exclusively activated for real words. Rather, differences among these string types were mainly expressed as graded changes in the balance of activations among the regions. Our results suggest that there is a widespread network of brain regions that form a common network for the processing of all orthographic string types.","author":[{"dropping-particle":"","family":"Tagamets","given":"M A","non-dropping-particle":"","parse-names":false,"suffix":""},{"dropping-particle":"","family":"Novick","given":"J M","non-dropping-particle":"","parse-names":false,"suffix":""},{"dropping-particle":"","family":"Chalmers","given":"M L","non-dropping-particle":"","parse-names":false,"suffix":""},{"dropping-particle":"","family":"Friedman","given":"R B","non-dropping-particle":"","parse-names":false,"suffix":""}],"container-title":"Journal of cognitive neuroscience","id":"ITEM-1","issue":"2","issued":{"date-parts":[["2000","3"]]},"page":"281-97","title":"A parametric approach to orthographic processing in the brain: an fMRI study.","type":"article-journal","volume":"12"},"uris":["http://www.mendeley.com/documents/?uuid=b6679bfd-5d62-375b-b27b-c8de9ec1e8f9"]}],"mendeley":{"formattedCitation":"(Tagamets et al. 2000)","plainTextFormattedCitation":"(Tagamets et al. 2000)","previouslyFormattedCitation":"&lt;sup&gt;58&lt;/sup&gt;"},"properties":{"noteIndex":0},"schema":"https://github.com/citation-style-language/schema/raw/master/csl-citation.json"}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(Tagamets et al. 2000)</w:t>
            </w:r>
            <w:r w:rsidRPr="00101744">
              <w:rPr>
                <w:rFonts w:ascii="Arial" w:eastAsia="Times New Roman" w:hAnsi="Arial" w:cs="Arial"/>
                <w:color w:val="000000"/>
                <w:sz w:val="18"/>
                <w:szCs w:val="18"/>
                <w:lang w:val="en-US" w:eastAsia="pt-PT"/>
              </w:rPr>
              <w:fldChar w:fldCharType="end"/>
            </w:r>
          </w:p>
        </w:tc>
        <w:tc>
          <w:tcPr>
            <w:tcW w:w="709" w:type="dxa"/>
            <w:noWrap/>
            <w:hideMark/>
          </w:tcPr>
          <w:p w14:paraId="54A1018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11</w:t>
            </w:r>
          </w:p>
        </w:tc>
        <w:tc>
          <w:tcPr>
            <w:tcW w:w="650" w:type="dxa"/>
            <w:noWrap/>
            <w:hideMark/>
          </w:tcPr>
          <w:p w14:paraId="3FC432D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w:t>
            </w:r>
          </w:p>
        </w:tc>
        <w:tc>
          <w:tcPr>
            <w:tcW w:w="517" w:type="dxa"/>
            <w:noWrap/>
            <w:hideMark/>
          </w:tcPr>
          <w:p w14:paraId="64E0498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w:t>
            </w:r>
          </w:p>
        </w:tc>
        <w:tc>
          <w:tcPr>
            <w:tcW w:w="767" w:type="dxa"/>
            <w:noWrap/>
            <w:hideMark/>
          </w:tcPr>
          <w:p w14:paraId="0B71F34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28</w:t>
            </w:r>
          </w:p>
        </w:tc>
        <w:tc>
          <w:tcPr>
            <w:tcW w:w="695" w:type="dxa"/>
            <w:noWrap/>
            <w:hideMark/>
          </w:tcPr>
          <w:p w14:paraId="2D8E8A7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20-47</w:t>
            </w:r>
          </w:p>
        </w:tc>
        <w:tc>
          <w:tcPr>
            <w:tcW w:w="1907" w:type="dxa"/>
            <w:noWrap/>
            <w:hideMark/>
          </w:tcPr>
          <w:p w14:paraId="5063B0E1"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N-back reading</w:t>
            </w:r>
          </w:p>
        </w:tc>
        <w:tc>
          <w:tcPr>
            <w:tcW w:w="445" w:type="dxa"/>
            <w:noWrap/>
            <w:hideMark/>
          </w:tcPr>
          <w:p w14:paraId="1B858EE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107</w:t>
            </w:r>
          </w:p>
        </w:tc>
        <w:tc>
          <w:tcPr>
            <w:tcW w:w="1681" w:type="dxa"/>
            <w:noWrap/>
            <w:hideMark/>
          </w:tcPr>
          <w:p w14:paraId="6DC8856A"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1.5T Vision Siemens</w:t>
            </w:r>
          </w:p>
        </w:tc>
        <w:tc>
          <w:tcPr>
            <w:tcW w:w="1547" w:type="dxa"/>
            <w:noWrap/>
            <w:hideMark/>
          </w:tcPr>
          <w:p w14:paraId="40B32E9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SPM96</w:t>
            </w:r>
          </w:p>
        </w:tc>
        <w:tc>
          <w:tcPr>
            <w:tcW w:w="1855" w:type="dxa"/>
            <w:noWrap/>
            <w:hideMark/>
          </w:tcPr>
          <w:p w14:paraId="351027A9"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Pcorr</w:t>
            </w:r>
            <w:proofErr w:type="spellEnd"/>
            <w:r w:rsidRPr="00101744">
              <w:rPr>
                <w:rFonts w:ascii="Arial" w:eastAsia="Times New Roman" w:hAnsi="Arial" w:cs="Arial"/>
                <w:color w:val="000000"/>
                <w:sz w:val="18"/>
                <w:szCs w:val="18"/>
                <w:lang w:val="en-US" w:eastAsia="pt-PT"/>
              </w:rPr>
              <w:t>&lt;0.05</w:t>
            </w:r>
          </w:p>
        </w:tc>
        <w:tc>
          <w:tcPr>
            <w:tcW w:w="717" w:type="dxa"/>
            <w:noWrap/>
            <w:hideMark/>
          </w:tcPr>
          <w:p w14:paraId="47CE441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3000</w:t>
            </w:r>
          </w:p>
        </w:tc>
        <w:tc>
          <w:tcPr>
            <w:tcW w:w="1146" w:type="dxa"/>
            <w:noWrap/>
            <w:hideMark/>
          </w:tcPr>
          <w:p w14:paraId="4F168A4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3.75</w:t>
            </w:r>
          </w:p>
        </w:tc>
      </w:tr>
      <w:tr w:rsidR="003D1F45" w:rsidRPr="00101744" w14:paraId="2A3EF83D" w14:textId="77777777" w:rsidTr="00B60BB2">
        <w:trPr>
          <w:trHeight w:val="300"/>
        </w:trPr>
        <w:tc>
          <w:tcPr>
            <w:tcW w:w="2269" w:type="dxa"/>
            <w:noWrap/>
            <w:vAlign w:val="center"/>
            <w:hideMark/>
          </w:tcPr>
          <w:p w14:paraId="04678E3B" w14:textId="7AB5CD99"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{"citationItems":[{"id":"ITEM-1","itemData":{"DOI":"10.1016/j.neuroimage.2005.06.050","ISSN":"10538119","PMID":"16084739","abstract":"The present study aimed at identifying the neural responses associated with the incidental processing of the emotional valence of single words using event-related functional magnetic resonance imaging (fMRI). Twenty right-handed participants performed a visual lexical decision task, discriminating between nouns and orthographically and phonologically legal nonwords. Positive, neutral and negative word categories were matched for frequency, number and frequency of orthographic neighbors, number of letters and imageability. Response times and accuracy data differed significantly between positive and neutral, and positive and negative words respectively, thus, replicating the findings of a pilot study. Words showed distributed, mainly left hemisphere activations, indicating involvement of a neural network responsible for semantic word knowledge. The neuroimaging data further revealed areas in left orbitofrontal gyrus and bilateral inferior frontal gyrus with greater activation to emotional than to neutral words. These brain regions are known to be involved in processing semantic and emotional information. Furthermore, distinct activations associated with positive words were observed in bilateral middle temporal and superior frontal gyrus, known to support semantic retrieval, and a distributed network, namely anterior and posterior cingulate gyrus, lingual gyrus and hippocampus when comparing positive and negative words. The latter areas were previously associated with explicit and not incidental processing of the emotional meaning of wor</w:instrText>
            </w:r>
            <w:r w:rsidR="00C14016" w:rsidRPr="00C14016">
              <w:rPr>
                <w:rFonts w:ascii="Arial" w:hAnsi="Arial" w:cs="Arial"/>
                <w:color w:val="000000"/>
                <w:sz w:val="18"/>
                <w:szCs w:val="18"/>
                <w:lang w:val="en-GB" w:eastAsia="pt-PT"/>
              </w:rPr>
              <w:instrText>ds and emotional memory retrieval. Thus, the results are discussed in relation to models of processing semantic and episodic emotional information.","author":[{"dropping-particle":"","family":"Kuchinke","given":"Lars","non-dropping-particle":"","parse-names":false,"suffix":""},{"dropping-particle":"","family":"Jacobs","given":"Arthur M.","non-dropping-particle":"","parse-names":false,"suffix":""},{"dropping-particle":"","family":"Grubich","given":"Claudia","non-dropping-particle":"","parse-names":false,"suffix":""},{"dropping-particle":"","family":"Võ","given":"Melissa L.-H.","non-dropping-particle":"","parse-names":false,"suffix":""},{"dropping-particle":"","family":"Conrad","given":"Markus","non-dropping-particle":"","parse-names":false,"suffix":""},{"dropping-particle":"","family":"Herrmann","given":"Manfred","non-dropping-particle":"","parse-names":false,"suffix":""}],"container-title":"NeuroImage","id":"ITEM-1","issue":"4","issued":{"date-parts":[["2005","12"]]},"page":"1022-1032","title":"Incidental effects of emotional valence in single word processing: An fMRI study","type":"article-journal","volume":"28"},"uris":["http://www.mendeley.com/documents/?uuid=269ba476-96c0-3e5f-840d-54b7f268e884"]}],"mendeley":{"formattedCitation":"(Kuchinke et al. 2005)","plainTextFormattedCitation":"(Kuchinke et al. 2005)","previouslyFormattedCitation":"&lt;sup&gt;59&lt;/sup&gt;"},"properties":{"noteIndex":0},"schema":"https://github.com/citation-style-language/schema/raw/master/csl-citation.json"}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(Kuchinke et al. 2005)</w:t>
            </w:r>
            <w:r w:rsidRPr="00101744">
              <w:rPr>
                <w:rFonts w:ascii="Arial" w:eastAsia="Times New Roman" w:hAnsi="Arial" w:cs="Arial"/>
                <w:color w:val="000000"/>
                <w:sz w:val="18"/>
                <w:szCs w:val="18"/>
                <w:lang w:val="en-US" w:eastAsia="pt-PT"/>
              </w:rPr>
              <w:fldChar w:fldCharType="end"/>
            </w:r>
          </w:p>
        </w:tc>
        <w:tc>
          <w:tcPr>
            <w:tcW w:w="709" w:type="dxa"/>
            <w:noWrap/>
            <w:hideMark/>
          </w:tcPr>
          <w:p w14:paraId="13C82D6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w:t>
            </w:r>
          </w:p>
        </w:tc>
        <w:tc>
          <w:tcPr>
            <w:tcW w:w="650" w:type="dxa"/>
            <w:noWrap/>
            <w:hideMark/>
          </w:tcPr>
          <w:p w14:paraId="018366B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517" w:type="dxa"/>
            <w:noWrap/>
            <w:hideMark/>
          </w:tcPr>
          <w:p w14:paraId="29087C8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767" w:type="dxa"/>
            <w:noWrap/>
            <w:hideMark/>
          </w:tcPr>
          <w:p w14:paraId="459F3A0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26</w:t>
            </w:r>
          </w:p>
        </w:tc>
        <w:tc>
          <w:tcPr>
            <w:tcW w:w="695" w:type="dxa"/>
            <w:noWrap/>
            <w:hideMark/>
          </w:tcPr>
          <w:p w14:paraId="0881760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20-36</w:t>
            </w:r>
          </w:p>
        </w:tc>
        <w:tc>
          <w:tcPr>
            <w:tcW w:w="1907" w:type="dxa"/>
            <w:noWrap/>
            <w:hideMark/>
          </w:tcPr>
          <w:p w14:paraId="699A6A32"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Reading words and </w:t>
            </w:r>
            <w:proofErr w:type="spellStart"/>
            <w:r w:rsidRPr="00101744">
              <w:rPr>
                <w:rFonts w:ascii="Arial" w:eastAsia="Times New Roman" w:hAnsi="Arial" w:cs="Arial"/>
                <w:color w:val="000000"/>
                <w:sz w:val="18"/>
                <w:szCs w:val="18"/>
                <w:lang w:val="en-US" w:eastAsia="pt-PT"/>
              </w:rPr>
              <w:t>pseudowords</w:t>
            </w:r>
            <w:proofErr w:type="spellEnd"/>
          </w:p>
        </w:tc>
        <w:tc>
          <w:tcPr>
            <w:tcW w:w="445" w:type="dxa"/>
            <w:noWrap/>
            <w:hideMark/>
          </w:tcPr>
          <w:p w14:paraId="63E8F71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22</w:t>
            </w:r>
          </w:p>
        </w:tc>
        <w:tc>
          <w:tcPr>
            <w:tcW w:w="1681" w:type="dxa"/>
            <w:noWrap/>
            <w:hideMark/>
          </w:tcPr>
          <w:p w14:paraId="7B5B77DA"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3T Allegra Siemens</w:t>
            </w:r>
          </w:p>
        </w:tc>
        <w:tc>
          <w:tcPr>
            <w:tcW w:w="1547" w:type="dxa"/>
            <w:noWrap/>
            <w:hideMark/>
          </w:tcPr>
          <w:p w14:paraId="7F11F23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SPM2</w:t>
            </w:r>
          </w:p>
        </w:tc>
        <w:tc>
          <w:tcPr>
            <w:tcW w:w="1855" w:type="dxa"/>
            <w:noWrap/>
            <w:hideMark/>
          </w:tcPr>
          <w:p w14:paraId="6E86D45E"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458DFBA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2500</w:t>
            </w:r>
          </w:p>
        </w:tc>
        <w:tc>
          <w:tcPr>
            <w:tcW w:w="1146" w:type="dxa"/>
            <w:noWrap/>
            <w:hideMark/>
          </w:tcPr>
          <w:p w14:paraId="72FB357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r>
      <w:tr w:rsidR="003D1F45" w:rsidRPr="00101744" w14:paraId="533E4CAB" w14:textId="77777777" w:rsidTr="00B60BB2">
        <w:trPr>
          <w:trHeight w:val="300"/>
        </w:trPr>
        <w:tc>
          <w:tcPr>
            <w:tcW w:w="2269" w:type="dxa"/>
            <w:noWrap/>
            <w:vAlign w:val="center"/>
            <w:hideMark/>
          </w:tcPr>
          <w:p w14:paraId="4CC6061D" w14:textId="3D648E10"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lastRenderedPageBreak/>
              <w:fldChar w:fldCharType="begin" w:fldLock="1"/>
            </w:r>
            <w:r w:rsidR="00C14016" w:rsidRPr="00C14016">
              <w:rPr>
                <w:rFonts w:ascii="Arial" w:hAnsi="Arial" w:cs="Arial"/>
                <w:color w:val="000000"/>
                <w:sz w:val="18"/>
                <w:szCs w:val="18"/>
                <w:lang w:val="en-GB" w:eastAsia="pt-PT"/>
              </w:rPr>
              <w:instrText>ADDIN CSL_CITATION {"citationItems":[{"id":"ITEM-1","itemData":{"DOI":"10.1002/(SICI)1097-0193(1999)7:1&lt;15::AID-HBM2&gt;3.0.CO;2-6","ISBN":"1065-9471 (Print)\\r1065-9471 (Linking)","ISSN":"10659471","PMID":"9882087","abstract":"Brain activations associated with semantic processing of visual and auditory words were investigated using functional magnetic resonance imaging (fMRI). For each form of word presentation, subjects performed two tasks: one semantic, and one nonsemantic. The semantic task was identical for both auditory and visual presentation: single words were presented and subjects determined whether the word was concrete or abstract. In the nonsemantic task for auditory words, subjects determined whether the word had one syllable or multiple syllables. In the nonsemantic task for visual words, subjects determined whether the word was presented in lower case or upper case. There was considerable overlap in where auditory and visual word semantic processing occurred. Visual and auditory semantic tasks both activated the left inferior frontal (BA 45), bilateral anterior prefrontal (BA 10, 46), and left premotor regions (BA 6) and anterior SMA (BA 6, 8). Left posterior temporal (middle temporal and fusiform gyrus) and predominantly right-sided cerebellar activations were observed during the auditory semantic task but were not above threshold during visual w</w:instrText>
            </w:r>
            <w:r w:rsidR="00C14016">
              <w:rPr>
                <w:rFonts w:ascii="Arial" w:hAnsi="Arial" w:cs="Arial"/>
                <w:color w:val="000000"/>
                <w:sz w:val="18"/>
                <w:szCs w:val="18"/>
                <w:lang w:eastAsia="pt-PT"/>
              </w:rPr>
              <w:instrText>ord presentation. The data, when averaged across subjects, did not show obligatory activation of left inferior frontal and temporal language areas during nonsemantic word tasks. Individual subjects showed differences in the activation of the inferior frontal region while performing the same task, even though they showed similar response latency and accuracy.","author":[{"dropping-particle":"","family":"Chee","given":"Michael W L","non-dropping-particle":"","parse-names":false,"suffix":""},{"dropping-particle":"","family":"O'Craven","given":"Kathleen M","non-dropping-particle":"","parse-names":false,"suffix":""},{"dropping-particle":"","family":"Bergida","given":"Ruth","non-dropping-particle":"","parse-names":false,"suffix":""},{"dropping-particle":"","family":"Rosen","given":"Bruce R","non-dropping-particle":"","parse-names":false,"suffix":""},{"dropping-particle":"","family":"Savoy","given":"Robert L","non-dropping-particle":"","parse-names":false,"suffix":""}],"container-title":"Human Brain Mapping","id":"ITEM-1","issue":"1","issued":{"date-parts":[["1999"]]},"page":"15-28","title":"Auditory and visual word processing studied with fMRI","type":"article-journal","volume":"7"},"uris":["http://www.mendeley.com/documents/?uuid=f39d1974-2a03-3599-bf4e-9e0158363497"]}],"mendeley":{"formattedCitation":"(Chee et al. 1999)","plainTextFormattedCitation":"(Chee et al. 1999)","previouslyFormattedCitation":"&lt;sup&gt;60&lt;/sup&gt;"},"properties":{"noteIndex":0},"schema":"https://github.com/citation-style-language/schema/raw/master/csl-citation.json"}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(Chee et al. 1999)</w:t>
            </w:r>
            <w:r w:rsidRPr="00101744">
              <w:rPr>
                <w:rFonts w:ascii="Arial" w:eastAsia="Times New Roman" w:hAnsi="Arial" w:cs="Arial"/>
                <w:color w:val="000000"/>
                <w:sz w:val="18"/>
                <w:szCs w:val="18"/>
                <w:lang w:val="en-US" w:eastAsia="pt-PT"/>
              </w:rPr>
              <w:fldChar w:fldCharType="end"/>
            </w:r>
          </w:p>
        </w:tc>
        <w:tc>
          <w:tcPr>
            <w:tcW w:w="709" w:type="dxa"/>
            <w:noWrap/>
            <w:hideMark/>
          </w:tcPr>
          <w:p w14:paraId="63E56B1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650" w:type="dxa"/>
            <w:noWrap/>
            <w:hideMark/>
          </w:tcPr>
          <w:p w14:paraId="734A220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w:t>
            </w:r>
          </w:p>
        </w:tc>
        <w:tc>
          <w:tcPr>
            <w:tcW w:w="517" w:type="dxa"/>
            <w:noWrap/>
            <w:hideMark/>
          </w:tcPr>
          <w:p w14:paraId="7E093E9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c>
          <w:tcPr>
            <w:tcW w:w="767" w:type="dxa"/>
            <w:noWrap/>
            <w:hideMark/>
          </w:tcPr>
          <w:p w14:paraId="43B3EA79"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95" w:type="dxa"/>
            <w:noWrap/>
            <w:hideMark/>
          </w:tcPr>
          <w:p w14:paraId="6836EAE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22-38</w:t>
            </w:r>
          </w:p>
        </w:tc>
        <w:tc>
          <w:tcPr>
            <w:tcW w:w="1907" w:type="dxa"/>
            <w:noWrap/>
            <w:hideMark/>
          </w:tcPr>
          <w:p w14:paraId="1DDEED60"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words</w:t>
            </w:r>
          </w:p>
        </w:tc>
        <w:tc>
          <w:tcPr>
            <w:tcW w:w="445" w:type="dxa"/>
            <w:noWrap/>
            <w:hideMark/>
          </w:tcPr>
          <w:p w14:paraId="0C45319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27</w:t>
            </w:r>
          </w:p>
        </w:tc>
        <w:tc>
          <w:tcPr>
            <w:tcW w:w="1681" w:type="dxa"/>
            <w:noWrap/>
            <w:hideMark/>
          </w:tcPr>
          <w:p w14:paraId="558C9D7D"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 xml:space="preserve">1.5T </w:t>
            </w:r>
            <w:proofErr w:type="spellStart"/>
            <w:r w:rsidRPr="00101744">
              <w:rPr>
                <w:rFonts w:ascii="Arial" w:eastAsia="Times New Roman" w:hAnsi="Arial" w:cs="Arial"/>
                <w:color w:val="000000"/>
                <w:sz w:val="18"/>
                <w:szCs w:val="18"/>
                <w:lang w:val="en-US" w:eastAsia="pt-PT"/>
              </w:rPr>
              <w:t>Signa</w:t>
            </w:r>
            <w:proofErr w:type="spellEnd"/>
            <w:r w:rsidRPr="00101744">
              <w:rPr>
                <w:rFonts w:ascii="Arial" w:eastAsia="Times New Roman" w:hAnsi="Arial" w:cs="Arial"/>
                <w:color w:val="000000"/>
                <w:sz w:val="18"/>
                <w:szCs w:val="18"/>
                <w:lang w:val="en-US" w:eastAsia="pt-PT"/>
              </w:rPr>
              <w:t xml:space="preserve"> GE</w:t>
            </w:r>
          </w:p>
        </w:tc>
        <w:tc>
          <w:tcPr>
            <w:tcW w:w="1547" w:type="dxa"/>
            <w:noWrap/>
            <w:hideMark/>
          </w:tcPr>
          <w:p w14:paraId="0E829543"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855" w:type="dxa"/>
            <w:noWrap/>
            <w:hideMark/>
          </w:tcPr>
          <w:p w14:paraId="42A4DE71"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&lt;0.00001</w:t>
            </w:r>
          </w:p>
        </w:tc>
        <w:tc>
          <w:tcPr>
            <w:tcW w:w="717" w:type="dxa"/>
            <w:noWrap/>
            <w:hideMark/>
          </w:tcPr>
          <w:p w14:paraId="49F66A3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6" w:type="dxa"/>
            <w:noWrap/>
            <w:hideMark/>
          </w:tcPr>
          <w:p w14:paraId="0D56BA8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3.125</w:t>
            </w:r>
          </w:p>
        </w:tc>
      </w:tr>
      <w:tr w:rsidR="003D1F45" w:rsidRPr="00101744" w14:paraId="6B855BE9" w14:textId="77777777" w:rsidTr="00B60BB2">
        <w:trPr>
          <w:trHeight w:val="300"/>
        </w:trPr>
        <w:tc>
          <w:tcPr>
            <w:tcW w:w="2269" w:type="dxa"/>
            <w:noWrap/>
            <w:vAlign w:val="center"/>
            <w:hideMark/>
          </w:tcPr>
          <w:p w14:paraId="1810197C" w14:textId="3C376669"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{"citationItems":[{"id":"ITEM-1","itemData":{"DOI":"10.1016/S0304-3940(99)00453-X","ISBN":"0304-3940 (Print)\\r0304-3940 (Linking)","ISSN":"03043940","PMID":"10454134","abstract":"This study addresses the question, to what extent the processing of meaningless random letter strings involves classical language related brain regions. Using event-related functional magnetic resonance imaging (fMRI), which allows random stimulus presentation, we could demonstrate activation in the left inferior frontal gyrus, the left superior temporal gyrus, left parietal and occipital regions after the presentation of random letter strings compared to real words. The activation in these classical language related brain areas reflects an intense lexical evaluation process of the meaningless stimuli. Real words contrasted with random letter strings activated the left angular gyrus, bilateral precuneus and the left posterior cingulate gyrus, which may reflect the access of higher semantic associations.","author":[{"dropping-particle":"","family":"Jessen","given":"Frank","non-dropping-particle":"","parse-names":false,"suffix":""},{"dropping-particle":"","family":"Erb","given":"Michael","non-dropping-particle":"","parse-names":false,"suffix":""},{"dropping-particle":"","family":"Klose","given":"Uwe","non-dropping-particle":"","parse-names":false,"suffix":""},{"dropping-particle":"","family":"Lotze","given":"Martin","non-dropping-particle":"","parse-names":false,"suffix":""},{"dropping-particle":"","family":"Grodd","given":"Wolfgang","non-dropping-particle":"","parse-names":false,"suffix":""},{"dropping-particle":"","family":"Heun","given":"Reinhard","non-dropping-particle":"","parse-names":false,"suffix":""}],"container-title":"Neuroscience Letters","id":"ITEM-1","issue":"1","issued":{"date-parts":[["1999","7","23"]]},"page":"13-16","title":"Activation of human language processing brain regions after the presentation of random letter strings demonstrated with event-related functional magnetic resonance imaging","type":"article-journal","volume":"270"},"uris":["http://www.mendeley.com/documents/?uuid=73d08cb1-f7b7-3954-bd94-86712b65161e"]}],"mendeley":{"formattedCitation":"(Jessen et al. 1999)","plainTextFormattedCitation":"(Jessen et al. 1999)","previouslyFormattedCitation":"&lt;sup&gt;61&lt;/sup&gt;"},"properties":{"noteIndex":0},"schema":"https://github.com/citation-style-language/schema/raw/master/csl-citation.json"}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(Jessen et al. 1999)</w:t>
            </w:r>
            <w:r w:rsidRPr="00101744">
              <w:rPr>
                <w:rFonts w:ascii="Arial" w:eastAsia="Times New Roman" w:hAnsi="Arial" w:cs="Arial"/>
                <w:color w:val="000000"/>
                <w:sz w:val="18"/>
                <w:szCs w:val="18"/>
                <w:lang w:val="en-US" w:eastAsia="pt-PT"/>
              </w:rPr>
              <w:fldChar w:fldCharType="end"/>
            </w:r>
          </w:p>
        </w:tc>
        <w:tc>
          <w:tcPr>
            <w:tcW w:w="709" w:type="dxa"/>
            <w:noWrap/>
            <w:hideMark/>
          </w:tcPr>
          <w:p w14:paraId="3CAE69F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0A23D9E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7</w:t>
            </w:r>
          </w:p>
        </w:tc>
        <w:tc>
          <w:tcPr>
            <w:tcW w:w="517" w:type="dxa"/>
            <w:noWrap/>
            <w:hideMark/>
          </w:tcPr>
          <w:p w14:paraId="1C6A92F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w:t>
            </w:r>
          </w:p>
        </w:tc>
        <w:tc>
          <w:tcPr>
            <w:tcW w:w="767" w:type="dxa"/>
            <w:noWrap/>
            <w:hideMark/>
          </w:tcPr>
          <w:p w14:paraId="3F93C0E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26,5</w:t>
            </w:r>
          </w:p>
        </w:tc>
        <w:tc>
          <w:tcPr>
            <w:tcW w:w="695" w:type="dxa"/>
            <w:noWrap/>
            <w:hideMark/>
          </w:tcPr>
          <w:p w14:paraId="225B3A5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22-35</w:t>
            </w:r>
          </w:p>
        </w:tc>
        <w:tc>
          <w:tcPr>
            <w:tcW w:w="1907" w:type="dxa"/>
            <w:noWrap/>
            <w:hideMark/>
          </w:tcPr>
          <w:p w14:paraId="20DA5488"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words and strings</w:t>
            </w:r>
          </w:p>
        </w:tc>
        <w:tc>
          <w:tcPr>
            <w:tcW w:w="445" w:type="dxa"/>
            <w:noWrap/>
            <w:hideMark/>
          </w:tcPr>
          <w:p w14:paraId="72E9A3F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c>
          <w:tcPr>
            <w:tcW w:w="1681" w:type="dxa"/>
            <w:noWrap/>
            <w:hideMark/>
          </w:tcPr>
          <w:p w14:paraId="084454A3"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1.5T Vision Siemens</w:t>
            </w:r>
          </w:p>
        </w:tc>
        <w:tc>
          <w:tcPr>
            <w:tcW w:w="1547" w:type="dxa"/>
            <w:noWrap/>
            <w:hideMark/>
          </w:tcPr>
          <w:p w14:paraId="406FA84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SPM96</w:t>
            </w:r>
          </w:p>
        </w:tc>
        <w:tc>
          <w:tcPr>
            <w:tcW w:w="1855" w:type="dxa"/>
            <w:noWrap/>
            <w:hideMark/>
          </w:tcPr>
          <w:p w14:paraId="1697E5C5"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5C566399"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146" w:type="dxa"/>
            <w:noWrap/>
            <w:hideMark/>
          </w:tcPr>
          <w:p w14:paraId="7937C4C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r>
      <w:tr w:rsidR="003D1F45" w:rsidRPr="00101744" w14:paraId="596AAD34" w14:textId="77777777" w:rsidTr="00B60BB2">
        <w:trPr>
          <w:trHeight w:val="300"/>
        </w:trPr>
        <w:tc>
          <w:tcPr>
            <w:tcW w:w="2269" w:type="dxa"/>
            <w:noWrap/>
            <w:vAlign w:val="center"/>
            <w:hideMark/>
          </w:tcPr>
          <w:p w14:paraId="7623F473" w14:textId="0597D660"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{"citationItems":[{"id":"ITEM-1","itemData":{"DOI":"10.1111/1467-9280.00251","ISSN":"0956-7976","PMID":"11273413","abstract":"We used functional magnetic resonance imaging (fMRI) to identify brain regions involved in the process of mapping coherent discourse onto a developing mental representation. We manipulated discourse coherence by presenting sentences with definite articles (which lead to more coherent discourse) or indefinite articles (which lead to less coherent discourse). Comprehending connected discourse, compared with reading unrelated sentences, produced more neural activity in the right than left hemisphere of the frontal lobe. Thus, the right hemisphere of the frontal lobe is involved in some of the processes underlying mapping. In contrast, left-hemisphere structures were associated with lower-level processes in reading (such as word recognition and syntactic processing). Our results demonstrate the utility of using fMRI to investigate the neural substrates of higher-level cognitive processes such as discourse comprehension.","author":[{"dropping-particle":"","family":"Robertson","given":"D A","non-dropping-particle":"","parse-names":false,"suffix":""},{"dropping-particle":"","family":"Gernsbacher","given":"M A","non-dropping-particle":"","parse-names":false,"suffix":""},{"dropping-particle":"","family":"Guidotti","given":"S J","non-dropping-particle":"","parse-names":false,"suffix":""},{"dropping-particle":"","family":"Robertson","given":"R R","non-dropping-particle":"","parse-names":false,"suffix":""},{"dropping-particle":"","family":"Irwin","given":"W","non-dropping-particle":"","parse-names":false,"suffix":""},{"dropping-particle":"","family":"Mock","given":"B J","non-dropping-particle":"","parse-names":false,"suffix":""},{"dropping-particle":"","family":"Campana","given":"M E","non-dropping-particle":"","parse-names":false,"suffix":""}],"container-title":"Psychological science","id":"ITEM-1","issue":"3","issued":{"date-parts":[["2000","5","6"]]},"page":"255-60","title":"Functional neuroanatomy of the cognitive process of mapping during discourse comprehension.","type":"article-journal","volume":"11"},"uris":["http://www.mendeley.com/documents/?uuid=dee5397d-e2a2-38ca-b086-5cf977155ece"]}],"mendeley":{"formattedCitation":"(Robertson et al. 2000)","plainTextFormattedCitation":"(Robertson et al. 2000)","previouslyFormattedCitation":"&lt;sup&gt;62&lt;/sup&gt;"},"properties":{"noteIndex":0},"schema":"https://github.com/citation-style-language/schema/raw/master/csl-citation.json"}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(Robertson et al. 2000)</w:t>
            </w:r>
            <w:r w:rsidRPr="00101744">
              <w:rPr>
                <w:rFonts w:ascii="Arial" w:eastAsia="Times New Roman" w:hAnsi="Arial" w:cs="Arial"/>
                <w:color w:val="000000"/>
                <w:sz w:val="18"/>
                <w:szCs w:val="18"/>
                <w:lang w:val="en-US" w:eastAsia="pt-PT"/>
              </w:rPr>
              <w:fldChar w:fldCharType="end"/>
            </w:r>
          </w:p>
        </w:tc>
        <w:tc>
          <w:tcPr>
            <w:tcW w:w="709" w:type="dxa"/>
            <w:noWrap/>
            <w:hideMark/>
          </w:tcPr>
          <w:p w14:paraId="5C65D4E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650" w:type="dxa"/>
            <w:noWrap/>
            <w:hideMark/>
          </w:tcPr>
          <w:p w14:paraId="49A5051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c>
          <w:tcPr>
            <w:tcW w:w="517" w:type="dxa"/>
            <w:noWrap/>
            <w:hideMark/>
          </w:tcPr>
          <w:p w14:paraId="5AC0600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c>
          <w:tcPr>
            <w:tcW w:w="767" w:type="dxa"/>
            <w:noWrap/>
            <w:hideMark/>
          </w:tcPr>
          <w:p w14:paraId="212FBF63"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95" w:type="dxa"/>
            <w:noWrap/>
            <w:hideMark/>
          </w:tcPr>
          <w:p w14:paraId="3FCDF535"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907" w:type="dxa"/>
            <w:noWrap/>
            <w:hideMark/>
          </w:tcPr>
          <w:p w14:paraId="5B44CD97"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sentences</w:t>
            </w:r>
          </w:p>
        </w:tc>
        <w:tc>
          <w:tcPr>
            <w:tcW w:w="445" w:type="dxa"/>
            <w:noWrap/>
            <w:hideMark/>
          </w:tcPr>
          <w:p w14:paraId="799003C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16</w:t>
            </w:r>
          </w:p>
        </w:tc>
        <w:tc>
          <w:tcPr>
            <w:tcW w:w="1681" w:type="dxa"/>
            <w:noWrap/>
            <w:hideMark/>
          </w:tcPr>
          <w:p w14:paraId="24EEC988" w14:textId="77777777" w:rsidR="003D1F45" w:rsidRPr="00101744" w:rsidRDefault="003D1F45" w:rsidP="00B60BB2">
            <w:pPr>
              <w:rPr>
                <w:rFonts w:ascii="Arial" w:eastAsia="Times New Roman" w:hAnsi="Arial" w:cs="Arial"/>
                <w:color w:val="000000"/>
                <w:sz w:val="18"/>
                <w:szCs w:val="18"/>
                <w:lang w:val="en-US" w:eastAsia="pt-PT"/>
              </w:rPr>
            </w:pPr>
          </w:p>
        </w:tc>
        <w:tc>
          <w:tcPr>
            <w:tcW w:w="1547" w:type="dxa"/>
            <w:noWrap/>
            <w:hideMark/>
          </w:tcPr>
          <w:p w14:paraId="77B63C3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SPM96</w:t>
            </w:r>
          </w:p>
        </w:tc>
        <w:tc>
          <w:tcPr>
            <w:tcW w:w="1855" w:type="dxa"/>
            <w:noWrap/>
            <w:hideMark/>
          </w:tcPr>
          <w:p w14:paraId="2530498B"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&lt;0.05</w:t>
            </w:r>
          </w:p>
        </w:tc>
        <w:tc>
          <w:tcPr>
            <w:tcW w:w="717" w:type="dxa"/>
            <w:noWrap/>
            <w:hideMark/>
          </w:tcPr>
          <w:p w14:paraId="48822B3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3000</w:t>
            </w:r>
          </w:p>
        </w:tc>
        <w:tc>
          <w:tcPr>
            <w:tcW w:w="1146" w:type="dxa"/>
            <w:noWrap/>
            <w:hideMark/>
          </w:tcPr>
          <w:p w14:paraId="44C1C9E2" w14:textId="77777777" w:rsidR="003D1F45" w:rsidRPr="00101744" w:rsidRDefault="003D1F45" w:rsidP="00B60BB2">
            <w:pPr>
              <w:jc w:val="center"/>
              <w:rPr>
                <w:rFonts w:ascii="Arial" w:eastAsia="Times New Roman" w:hAnsi="Arial" w:cs="Arial"/>
                <w:color w:val="000000"/>
                <w:sz w:val="18"/>
                <w:szCs w:val="18"/>
                <w:lang w:val="en-US" w:eastAsia="pt-PT"/>
              </w:rPr>
            </w:pPr>
          </w:p>
        </w:tc>
      </w:tr>
      <w:tr w:rsidR="003D1F45" w:rsidRPr="00101744" w14:paraId="1C6D0BB4" w14:textId="77777777" w:rsidTr="00B60BB2">
        <w:trPr>
          <w:trHeight w:val="300"/>
        </w:trPr>
        <w:tc>
          <w:tcPr>
            <w:tcW w:w="2269" w:type="dxa"/>
            <w:noWrap/>
            <w:vAlign w:val="center"/>
            <w:hideMark/>
          </w:tcPr>
          <w:p w14:paraId="6C839661" w14:textId="6AAB6FF0" w:rsidR="003D1F45" w:rsidRPr="00101744" w:rsidRDefault="003D1F45" w:rsidP="00C14016">
            <w:pPr>
              <w:rPr>
                <w:rFonts w:ascii="Arial" w:eastAsia="Times New Roman" w:hAnsi="Arial" w:cs="Arial"/>
                <w:b/>
                <w:bCs/>
                <w:sz w:val="18"/>
                <w:szCs w:val="18"/>
                <w:lang w:val="en-US" w:eastAsia="pt-PT"/>
              </w:rPr>
            </w:pPr>
            <w:r w:rsidRPr="00101744">
              <w:rPr>
                <w:rFonts w:ascii="Arial" w:eastAsia="Times New Roman" w:hAnsi="Arial" w:cs="Arial"/>
                <w:sz w:val="18"/>
                <w:szCs w:val="18"/>
                <w:lang w:val="en-US" w:eastAsia="pt-PT"/>
              </w:rPr>
              <w:fldChar w:fldCharType="begin" w:fldLock="1"/>
            </w:r>
            <w:r w:rsidR="00C14016">
              <w:rPr>
                <w:rFonts w:ascii="Arial" w:hAnsi="Arial" w:cs="Arial"/>
                <w:sz w:val="18"/>
                <w:szCs w:val="18"/>
                <w:lang w:eastAsia="pt-PT"/>
              </w:rPr>
              <w:instrText>ADDIN CSL_CITATION {"citationItems":[{"id":"ITEM-1","itemData":{"DOI":"10.1016/S0093-934X(03)00403-6","ISSN":"0093-934X","PMID":"15010232","abstract":"The purpose of the present study was to compare the brain regions and systems that subserve lexical and sublexical processes in reading. In order to do so, three types of tasks were used: (i). silent reading of very high frequency regular words (lexical task); (ii). silent reading of nonwords (sublexical task); and, (iii). silent reading of very low frequency regular words (sublexical task). All three conditions were contrasted with a visual/phonological baseline condition. The lexical condition engaged primarily an area at the border of the left angular and supramarginal gyri. Activation found in this region suggests that this area may be involved in mapping orthographic-to-phonological whole word representations. Both sublexical conditions elicited significantly greater activation in the left inferior prefrontal gyrus. This region is thought to be associated with sublexical processes in reading such as grapheme-to-phoneme conversion, phoneme assembly and underlying verbal working memory processes. Activation in the left IFG was also associated with left superior and middle temporal activation. These areas are thought to be functionally correlated with the left IFG and to contribute to a phonologically based form of reading. The results as a whole demonstrate that lexical and sublexical processes in reading activate different regions within a complex network of brain structures.","author":[{"dropping-particle":"","family":"Joubert","given":"Sven","non-dropping-</w:instrText>
            </w:r>
            <w:r w:rsidR="00C14016" w:rsidRPr="00C14016">
              <w:rPr>
                <w:rFonts w:ascii="Arial" w:hAnsi="Arial" w:cs="Arial"/>
                <w:sz w:val="18"/>
                <w:szCs w:val="18"/>
                <w:lang w:val="en-GB" w:eastAsia="pt-PT"/>
              </w:rPr>
              <w:instrText>particle":"","parse-names":false,"suffix":""},{"dropping-particle":"","family":"Beauregard","given":"Mario","non-dropping-particle":"","parse-names":false,"suffix":""},{"dropping-particle":"","family":"Walter","given":"Nathalie","non-dropping-particle":"","parse-names":false,"suffix":""},{"dropping-particle":"","family":"Bourgouin","given":"Pierre","non-dropping-particle":"","parse-names":false,"suffix":""},{"dropping-particle":"","family":"Beaudoin","given":"Gilles","non-dropping-particle":"","parse-names":false,"suffix":""},{"dropping-particle":"","family":"Leroux","given":"Jean-Maxime","non-dropping-particle":"","parse-names":false,"suffix":""},{"dropping-particle":"","family":"Karama","given":"Sherif","non-dropping-particle":"","parse-names":false,"suffix":""},{"dropping-particle":"","family":"Lecours","given":"André Roch","non-dropping-particle":"","parse-names":false,"suffix":""}],"container-title":"Brain and language","id":"ITEM-1","issue":"1","issued":{"date-parts":[["2004","4"]]},"page":"9-20","title":"Neural correlates of lexical and sublexical processes in reading.","type":"article-journal","volume":"89"},"uris":["http://www.mendeley.com/documents/?uuid=9d747484-f259-3a31-a90b-bf352d534f26"]}],"mendeley":{"formattedCitation":"(Joubert et al. 2004)","plainTextFormattedCitation":"(Joubert et al. 2004)","previouslyFormattedCitation":"&lt;sup&gt;63&lt;/sup&gt;"},"properties":{"noteIndex":0},"schema":"https://github.com/citation-style-language/schema/raw/master/csl-citation.json"}</w:instrText>
            </w:r>
            <w:r w:rsidRPr="00101744">
              <w:rPr>
                <w:rFonts w:ascii="Arial" w:eastAsia="Times New Roman" w:hAnsi="Arial" w:cs="Arial"/>
                <w:sz w:val="18"/>
                <w:szCs w:val="18"/>
                <w:lang w:val="en-US" w:eastAsia="pt-PT"/>
              </w:rPr>
              <w:fldChar w:fldCharType="separate"/>
            </w:r>
            <w:r w:rsidR="00C14016" w:rsidRPr="00C14016">
              <w:rPr>
                <w:rFonts w:ascii="Arial" w:hAnsi="Arial" w:cs="Arial"/>
                <w:noProof/>
                <w:sz w:val="18"/>
                <w:szCs w:val="18"/>
                <w:lang w:val="en-GB" w:eastAsia="pt-PT"/>
              </w:rPr>
              <w:t>(Joubert et al. 2004)</w:t>
            </w:r>
            <w:r w:rsidRPr="00101744">
              <w:rPr>
                <w:rFonts w:ascii="Arial" w:eastAsia="Times New Roman" w:hAnsi="Arial" w:cs="Arial"/>
                <w:sz w:val="18"/>
                <w:szCs w:val="18"/>
                <w:lang w:val="en-US" w:eastAsia="pt-PT"/>
              </w:rPr>
              <w:fldChar w:fldCharType="end"/>
            </w:r>
          </w:p>
        </w:tc>
        <w:tc>
          <w:tcPr>
            <w:tcW w:w="709" w:type="dxa"/>
            <w:noWrap/>
            <w:hideMark/>
          </w:tcPr>
          <w:p w14:paraId="0F2CF60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c>
          <w:tcPr>
            <w:tcW w:w="650" w:type="dxa"/>
            <w:noWrap/>
            <w:hideMark/>
          </w:tcPr>
          <w:p w14:paraId="4AE869C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c>
          <w:tcPr>
            <w:tcW w:w="517" w:type="dxa"/>
            <w:noWrap/>
            <w:hideMark/>
          </w:tcPr>
          <w:p w14:paraId="512FBAD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0</w:t>
            </w:r>
          </w:p>
        </w:tc>
        <w:tc>
          <w:tcPr>
            <w:tcW w:w="767" w:type="dxa"/>
            <w:noWrap/>
            <w:hideMark/>
          </w:tcPr>
          <w:p w14:paraId="2F1F63A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26</w:t>
            </w:r>
          </w:p>
        </w:tc>
        <w:tc>
          <w:tcPr>
            <w:tcW w:w="695" w:type="dxa"/>
            <w:noWrap/>
            <w:hideMark/>
          </w:tcPr>
          <w:p w14:paraId="623EFB8C"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907" w:type="dxa"/>
            <w:noWrap/>
            <w:hideMark/>
          </w:tcPr>
          <w:p w14:paraId="254509B2"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words</w:t>
            </w:r>
          </w:p>
        </w:tc>
        <w:tc>
          <w:tcPr>
            <w:tcW w:w="445" w:type="dxa"/>
            <w:noWrap/>
            <w:hideMark/>
          </w:tcPr>
          <w:p w14:paraId="6491B15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29</w:t>
            </w:r>
          </w:p>
        </w:tc>
        <w:tc>
          <w:tcPr>
            <w:tcW w:w="1681" w:type="dxa"/>
            <w:noWrap/>
            <w:hideMark/>
          </w:tcPr>
          <w:p w14:paraId="444DB2AB"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1.5T Vision Siemens</w:t>
            </w:r>
          </w:p>
        </w:tc>
        <w:tc>
          <w:tcPr>
            <w:tcW w:w="1547" w:type="dxa"/>
            <w:noWrap/>
            <w:hideMark/>
          </w:tcPr>
          <w:p w14:paraId="73CC365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SPM96</w:t>
            </w:r>
          </w:p>
        </w:tc>
        <w:tc>
          <w:tcPr>
            <w:tcW w:w="1855" w:type="dxa"/>
            <w:noWrap/>
            <w:hideMark/>
          </w:tcPr>
          <w:p w14:paraId="7C4CA65A"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&lt;0.0005</w:t>
            </w:r>
          </w:p>
        </w:tc>
        <w:tc>
          <w:tcPr>
            <w:tcW w:w="717" w:type="dxa"/>
            <w:noWrap/>
            <w:hideMark/>
          </w:tcPr>
          <w:p w14:paraId="2396BE50"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146" w:type="dxa"/>
            <w:noWrap/>
            <w:hideMark/>
          </w:tcPr>
          <w:p w14:paraId="690FC107" w14:textId="77777777" w:rsidR="003D1F45" w:rsidRPr="00101744" w:rsidRDefault="003D1F45" w:rsidP="00B60BB2">
            <w:pPr>
              <w:jc w:val="center"/>
              <w:rPr>
                <w:rFonts w:ascii="Arial" w:eastAsia="Times New Roman" w:hAnsi="Arial" w:cs="Arial"/>
                <w:sz w:val="18"/>
                <w:szCs w:val="18"/>
                <w:lang w:val="en-US" w:eastAsia="pt-PT"/>
              </w:rPr>
            </w:pPr>
          </w:p>
        </w:tc>
      </w:tr>
      <w:tr w:rsidR="003D1F45" w:rsidRPr="00101744" w14:paraId="6D454422" w14:textId="77777777" w:rsidTr="00B60BB2">
        <w:trPr>
          <w:trHeight w:val="300"/>
        </w:trPr>
        <w:tc>
          <w:tcPr>
            <w:tcW w:w="2269" w:type="dxa"/>
            <w:noWrap/>
            <w:vAlign w:val="center"/>
            <w:hideMark/>
          </w:tcPr>
          <w:p w14:paraId="1E66A9EC" w14:textId="094599CA"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{"citationItems":[{"id":"ITEM-1","itemData":{"DOI":"10.1016/j.neuroimage.2004.08.020","ISSN":"1053-8119","PMID":"15627589","abstract":"Using fMRI, we observed that there were functionally disjunctive regions in the human brain that were specifically activated during the silent reading of sentences (i.e., the symbolical representation at the propositional level) but not during the perception of arranged objects (i.e., analogical representation), or vice versa: Parts of the left and right lingual gyri, the left fusiform gyrus, the left and right inferior occipital gyri, the right cuneus, and the left middle occipital gyrus were activated exclusively during the silent reading of sentences, whereas perception of the arranged objects activated distinct regions in the lingual gyrus, the declive, the fusiform gyrus, and the cuneus in the right hemisphere. A large proportion (86% in cortical volume) of the occipito-temporal regions was functionally conjunctive: these neural structures were activated during both silent reading of sentences and perception of arranged objects. We observed a similar trend of functional disjunction and conjunction between single words (the symbolical mode at the lexical level) and single objects (analogical mode): the degree of functional conjunction in the latter case was about 96%. These results suggest that the degree of functional disjuncti</w:instrText>
            </w:r>
            <w:r w:rsidR="00C14016">
              <w:rPr>
                <w:rFonts w:ascii="Arial" w:hAnsi="Arial" w:cs="Arial"/>
                <w:color w:val="000000"/>
                <w:sz w:val="18"/>
                <w:szCs w:val="18"/>
                <w:lang w:eastAsia="pt-PT"/>
              </w:rPr>
              <w:instrText>on between the pictorial depictions and the verbal descriptions tended to increase as the complexity of mental representation increased from the single word (lexical) level (4%) to the sentence (propositional) level (14%).","author":[{"dropping-particle":"","family":"Gates","given":"Larry","non-dropping-particle":"","parse-names":false,"suffix":""},{"dropping-particle":"","family":"Yoon","given":"Myong G","non-dropping-particle":"","parse-names":false,"suffix":""}],"container-title":"NeuroImage","id":"ITEM-1","issue":"2","issued":{"date-parts":[["2005","1","15"]]},"page":"473-86","title":"Distinct and shared cortical regions of the human brain activated by pictorial depictions versus verbal descriptions: an fMRI study.","type":"article-journal","volume":"24"},"uris":["http://www.mendeley.com/documents/?uuid=9db5e886-8f81-356c-ad56-4ebbf7576496"]}],"mendeley":{"formattedCitation":"(Gates and Yoon 2005)","plainTextFormattedCitation":"(Gates and Yoon 2005)","previouslyFormattedCitation":"&lt;sup&gt;64&lt;/sup&gt;"},"properties":{"noteIndex":0},"schema":"https://github.com/citation-style-language/schema/raw/master/csl-citation.json"}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(Gates and Yoon 2005)</w:t>
            </w:r>
            <w:r w:rsidRPr="00101744">
              <w:rPr>
                <w:rFonts w:ascii="Arial" w:eastAsia="Times New Roman" w:hAnsi="Arial" w:cs="Arial"/>
                <w:color w:val="000000"/>
                <w:sz w:val="18"/>
                <w:szCs w:val="18"/>
                <w:lang w:val="en-US" w:eastAsia="pt-PT"/>
              </w:rPr>
              <w:fldChar w:fldCharType="end"/>
            </w:r>
          </w:p>
        </w:tc>
        <w:tc>
          <w:tcPr>
            <w:tcW w:w="709" w:type="dxa"/>
            <w:noWrap/>
            <w:hideMark/>
          </w:tcPr>
          <w:p w14:paraId="639178A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c>
          <w:tcPr>
            <w:tcW w:w="650" w:type="dxa"/>
            <w:noWrap/>
            <w:hideMark/>
          </w:tcPr>
          <w:p w14:paraId="5ECFA30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w:t>
            </w:r>
          </w:p>
        </w:tc>
        <w:tc>
          <w:tcPr>
            <w:tcW w:w="517" w:type="dxa"/>
            <w:noWrap/>
            <w:hideMark/>
          </w:tcPr>
          <w:p w14:paraId="5EADE1A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w:t>
            </w:r>
          </w:p>
        </w:tc>
        <w:tc>
          <w:tcPr>
            <w:tcW w:w="767" w:type="dxa"/>
            <w:noWrap/>
            <w:hideMark/>
          </w:tcPr>
          <w:p w14:paraId="4FB7115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24</w:t>
            </w:r>
          </w:p>
        </w:tc>
        <w:tc>
          <w:tcPr>
            <w:tcW w:w="695" w:type="dxa"/>
            <w:noWrap/>
            <w:hideMark/>
          </w:tcPr>
          <w:p w14:paraId="3D214DF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21-32</w:t>
            </w:r>
          </w:p>
        </w:tc>
        <w:tc>
          <w:tcPr>
            <w:tcW w:w="1907" w:type="dxa"/>
            <w:noWrap/>
            <w:hideMark/>
          </w:tcPr>
          <w:p w14:paraId="41B8ACE9"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words</w:t>
            </w:r>
          </w:p>
        </w:tc>
        <w:tc>
          <w:tcPr>
            <w:tcW w:w="445" w:type="dxa"/>
            <w:noWrap/>
            <w:hideMark/>
          </w:tcPr>
          <w:p w14:paraId="64CE389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36</w:t>
            </w:r>
          </w:p>
        </w:tc>
        <w:tc>
          <w:tcPr>
            <w:tcW w:w="1681" w:type="dxa"/>
            <w:noWrap/>
            <w:hideMark/>
          </w:tcPr>
          <w:p w14:paraId="565ED44C"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1.5T Vision Siemens</w:t>
            </w:r>
          </w:p>
        </w:tc>
        <w:tc>
          <w:tcPr>
            <w:tcW w:w="1547" w:type="dxa"/>
            <w:noWrap/>
            <w:hideMark/>
          </w:tcPr>
          <w:p w14:paraId="0F034BB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AFNI</w:t>
            </w:r>
          </w:p>
        </w:tc>
        <w:tc>
          <w:tcPr>
            <w:tcW w:w="1855" w:type="dxa"/>
            <w:noWrap/>
            <w:hideMark/>
          </w:tcPr>
          <w:p w14:paraId="0C7C78BC"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1E30823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5525</w:t>
            </w:r>
          </w:p>
        </w:tc>
        <w:tc>
          <w:tcPr>
            <w:tcW w:w="1146" w:type="dxa"/>
            <w:noWrap/>
            <w:hideMark/>
          </w:tcPr>
          <w:p w14:paraId="45FF46A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w:t>
            </w:r>
          </w:p>
        </w:tc>
      </w:tr>
      <w:tr w:rsidR="003D1F45" w:rsidRPr="00101744" w14:paraId="2D228F18" w14:textId="77777777" w:rsidTr="00B60BB2">
        <w:trPr>
          <w:trHeight w:val="300"/>
        </w:trPr>
        <w:tc>
          <w:tcPr>
            <w:tcW w:w="2269" w:type="dxa"/>
            <w:noWrap/>
            <w:vAlign w:val="center"/>
            <w:hideMark/>
          </w:tcPr>
          <w:p w14:paraId="1553CEA8" w14:textId="60611398"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{"citationItems":[{"id":"ITEM-1","itemData":{"DOI":"10.1162/089892905774589190","ISSN":"0898-929X","PMID":"16269111","abstract":"Previous studies of patients with phonological and surface alexia have demonstrated a double dissociation between the reading of pseudo words and words with atypical spelling-to-sound relationships. A corresponding double dissociation in the neuronal activation patterns for pseudo words and exception words has not, however, been consistently demonstrated in normal subjects. Motivated by the literature on acquired alexia, the present study contrasted pseudo words to exception words and explored how neuronal interactions within the reading system are influenced by word type. Functional magnetic resonance imaging was used to measure neuronal responses during reading in 22 healthy volunteers. The direct comparison of reading pseudo words and exception words revealed a double dissociation within the left frontal cortex. Pseudo words preferentially increased left dorsal premotor activation, whereas exception words preferentially increased left pars triangularis activation. Critically, these areas correspond to those previously associated with phonological and semantic processing, respectively. Word-type dependent interactions between brain areas were then investigated using dynamic causal modeling. This revealed that increased activation in the dorsal premotor cortex for pseudo words was associated with a selective increase in effective connectivity from the posterior fusiform gyrus. In contrast, increased activation in the pars triangularis for exception words was associated with a selective increase in effective connectivity from the anterior fusiform gyrus. The present investigation is the first to identify distinct neuronal mechanisms for semantic and phonological contributions to reading.","author":[{"dropping-particle":"","family":"Mechelli","given":"Andrea","non-dropping-particle":"","parse-names":false,"suffix":""},{"dropping-particle":"","family":"Crinion","given":"Jennifer T","non-dropping-particle":"","parse-names":false,"suffix":""},{"dropping-particle":"","family":"Long","given":"Steven","non-dropping-particle":"","parse-names":false,"suffix":""},{"dropping-particle":"","family":"Friston","given":"Karl J","non-dropping-particle":"","parse-names":false,"suffix":""},{"dropping-particle":"","family":"Lambon Ralph","given":"Matthew A","non-dropping-particle":"","parse-names":false,"suffix":""},{"dropping-particle":"","family":"Patterson","given":"Karalyn","non-dropping-particle":"","parse-names":false,"suffix":""},{"dropping-particle":"","family":"McClelland","given":"James L","non-dropping-particle":"","parse-names":false,"suffix":""},{"dropping-particle":"","family":"Price","given":"Cathy J","non-dropping-particle":"","parse-names":false,"suffix":""}],"container-title":"Journal of cognitive neuroscience","id":"ITEM-1","issue":"11","issued":{"date-parts":[["2005","11"]]},"page":"1753-65","title":"Dissociating reading processes on the basis of neuronal interactions.","type":"article-journal","volume":"17"},"uris":["http://www.mendeley.com/documents/?uuid=2d7a49c7-aefd-3a0e-8a6e-3d7cdeba3d5a"]}],"mendeley":{"formattedCitation":"(Mechelli et al. 2005)","plainTextFormattedCitation":"(Mechelli et al. 2005)","previouslyFormattedCitation":"&lt;sup&gt;65&lt;/sup&gt;"},"properties":{"noteIndex":0},"schema":"https://github.com/citation-style-language/schema/raw/master/csl-citation.json"}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(Mechelli et al. 2005)</w:t>
            </w:r>
            <w:r w:rsidRPr="00101744">
              <w:rPr>
                <w:rFonts w:ascii="Arial" w:eastAsia="Times New Roman" w:hAnsi="Arial" w:cs="Arial"/>
                <w:color w:val="000000"/>
                <w:sz w:val="18"/>
                <w:szCs w:val="18"/>
                <w:lang w:val="en-US" w:eastAsia="pt-PT"/>
              </w:rPr>
              <w:fldChar w:fldCharType="end"/>
            </w:r>
          </w:p>
        </w:tc>
        <w:tc>
          <w:tcPr>
            <w:tcW w:w="709" w:type="dxa"/>
            <w:noWrap/>
            <w:hideMark/>
          </w:tcPr>
          <w:p w14:paraId="4B2BB1B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22</w:t>
            </w:r>
          </w:p>
        </w:tc>
        <w:tc>
          <w:tcPr>
            <w:tcW w:w="650" w:type="dxa"/>
            <w:noWrap/>
            <w:hideMark/>
          </w:tcPr>
          <w:p w14:paraId="664D732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517" w:type="dxa"/>
            <w:noWrap/>
            <w:hideMark/>
          </w:tcPr>
          <w:p w14:paraId="444859F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c>
          <w:tcPr>
            <w:tcW w:w="767" w:type="dxa"/>
            <w:noWrap/>
            <w:hideMark/>
          </w:tcPr>
          <w:p w14:paraId="26AF4F2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36</w:t>
            </w:r>
          </w:p>
        </w:tc>
        <w:tc>
          <w:tcPr>
            <w:tcW w:w="695" w:type="dxa"/>
            <w:noWrap/>
            <w:hideMark/>
          </w:tcPr>
          <w:p w14:paraId="2E7CC53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21-54</w:t>
            </w:r>
          </w:p>
        </w:tc>
        <w:tc>
          <w:tcPr>
            <w:tcW w:w="1907" w:type="dxa"/>
            <w:noWrap/>
            <w:hideMark/>
          </w:tcPr>
          <w:p w14:paraId="03A6A959"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w:t>
            </w:r>
          </w:p>
        </w:tc>
        <w:tc>
          <w:tcPr>
            <w:tcW w:w="445" w:type="dxa"/>
            <w:noWrap/>
            <w:hideMark/>
          </w:tcPr>
          <w:p w14:paraId="2BBB710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w:t>
            </w:r>
          </w:p>
        </w:tc>
        <w:tc>
          <w:tcPr>
            <w:tcW w:w="1681" w:type="dxa"/>
            <w:noWrap/>
            <w:hideMark/>
          </w:tcPr>
          <w:p w14:paraId="50ED08FE"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1.5T Siemens</w:t>
            </w:r>
          </w:p>
        </w:tc>
        <w:tc>
          <w:tcPr>
            <w:tcW w:w="1547" w:type="dxa"/>
            <w:noWrap/>
            <w:hideMark/>
          </w:tcPr>
          <w:p w14:paraId="307EC91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SPM2</w:t>
            </w:r>
          </w:p>
        </w:tc>
        <w:tc>
          <w:tcPr>
            <w:tcW w:w="1855" w:type="dxa"/>
            <w:noWrap/>
            <w:hideMark/>
          </w:tcPr>
          <w:p w14:paraId="0AF683BB"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Pcorr</w:t>
            </w:r>
            <w:proofErr w:type="spellEnd"/>
            <w:r w:rsidRPr="00101744">
              <w:rPr>
                <w:rFonts w:ascii="Arial" w:eastAsia="Times New Roman" w:hAnsi="Arial" w:cs="Arial"/>
                <w:color w:val="000000"/>
                <w:sz w:val="18"/>
                <w:szCs w:val="18"/>
                <w:lang w:val="en-US" w:eastAsia="pt-PT"/>
              </w:rPr>
              <w:t>&lt;0.05</w:t>
            </w:r>
          </w:p>
        </w:tc>
        <w:tc>
          <w:tcPr>
            <w:tcW w:w="717" w:type="dxa"/>
            <w:noWrap/>
            <w:hideMark/>
          </w:tcPr>
          <w:p w14:paraId="2E284BC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3150</w:t>
            </w:r>
          </w:p>
        </w:tc>
        <w:tc>
          <w:tcPr>
            <w:tcW w:w="1146" w:type="dxa"/>
            <w:noWrap/>
            <w:hideMark/>
          </w:tcPr>
          <w:p w14:paraId="5AEF65D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r>
      <w:tr w:rsidR="003D1F45" w:rsidRPr="00101744" w14:paraId="5BF9694E" w14:textId="77777777" w:rsidTr="00B60BB2">
        <w:trPr>
          <w:trHeight w:val="300"/>
        </w:trPr>
        <w:tc>
          <w:tcPr>
            <w:tcW w:w="2269" w:type="dxa"/>
            <w:noWrap/>
            <w:vAlign w:val="center"/>
            <w:hideMark/>
          </w:tcPr>
          <w:p w14:paraId="21D86915" w14:textId="1FB0D6BD"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{"citationItems":[{"id":"ITEM-1","itemData":{"DOI":"10.1016/j.neuroimage.2005.04.038","ISSN":"1053-8119","PMID":"15961322","abstract":"The putative role of the so-called Visual Word Form Area (VWFA) during reading remains under debate. For some authors, this region is specifically involved in a pre-lexical processing of words and pseudowords, whereas such specificity is challenged by others given the VWFA involvement during both non-word reading and word listening. Here, we further investigated this issue, measuring BOLD variations and their lateralization with fMRI during word and non-word reading, in order to evaluate the lexicality effect, and during reading and listening of words, in order to evaluate the impact of stimulus delivery modality on word processing networks. Region of interest (ROI) analysis was first performed in three target areas: 1-VWFA as defined by a meta-analysis of the word reading literature, 2-a middle temporal area (T2) found co-activated by both word reading and listening, 3-an inferior occipital area (OI) belonging to the unimodal visual cortex of the inferior occipital gyrus. VWFA activity was found not different between word and non-word reading but was more leftward lateralized during word reading due to a reduction of activity in the VWFA right counterpart. A similar larger leftward lateralization during word reading was also uncovered in the T2 ROI but was related to a larger left side activity. Such a lexicality effect was not observed in the OI ROI. By contrast, BOLD incre</w:instrText>
            </w:r>
            <w:r w:rsidR="00C14016" w:rsidRPr="00C14016">
              <w:rPr>
                <w:rFonts w:ascii="Arial" w:hAnsi="Arial" w:cs="Arial"/>
                <w:color w:val="000000"/>
                <w:sz w:val="18"/>
                <w:szCs w:val="18"/>
                <w:lang w:val="en-GB" w:eastAsia="pt-PT"/>
              </w:rPr>
              <w:instrText>ases during listening were restricted to the left VWFA and T2 ROIs. Voxel-based analysis (SPM99) showed that semantic areas were more active during word than non-word reading and co-activated by both reading and listening, exhibiting a left lateralized activity in all tasks. These results indicate that the left VWFA would be the place where visual and verbal representations bind under the control of left semantic areas.","author":[{"dropping-particle":"","family":"Vigneau","given":"M","non-dropping-particle":"","parse-names":false,"suffix":""},{"dropping-particle":"","family":"Jobard","given":"G","non-dropping-particle":"","parse-names":false,"suffix":""},{"dropping-particle":"","family":"Mazoyer","given":"B","non-dropping-particle":"","parse-names":false,"suffix":""},{"dropping-particle":"","family":"Tzourio-Mazoyer","given":"N","non-dropping-particle":"","parse-names":false,"suffix":""}],"container-title":"NeuroImage","id":"ITEM-1","issue":"3","issued":{"date-parts":[["2005","9"]]},"page":"694-705","title":"Word and non-word reading: what role for the Visual Word Form Area?","type":"article-journal","volume":"27"},"uris":["http://www.mendeley.com/documents/?uuid=54dcc23f-b4c6-387e-ace8-5731e3f0c34d"]}],"mendeley":{"formattedCitation":"(Vigneau et al. 2005)","plainTextFormattedCitation":"(Vigneau et al. 2005)","previouslyFormattedCitation":"&lt;sup&gt;66&lt;/sup&gt;"},"properties":{"noteIndex":0},"schema":"https://github.com/citation-style-language/schema/raw/master/csl-citation.json"}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(Vigneau et al. 2005)</w:t>
            </w:r>
            <w:r w:rsidRPr="00101744">
              <w:rPr>
                <w:rFonts w:ascii="Arial" w:eastAsia="Times New Roman" w:hAnsi="Arial" w:cs="Arial"/>
                <w:color w:val="000000"/>
                <w:sz w:val="18"/>
                <w:szCs w:val="18"/>
                <w:lang w:val="en-US" w:eastAsia="pt-PT"/>
              </w:rPr>
              <w:fldChar w:fldCharType="end"/>
            </w:r>
          </w:p>
        </w:tc>
        <w:tc>
          <w:tcPr>
            <w:tcW w:w="709" w:type="dxa"/>
            <w:noWrap/>
            <w:hideMark/>
          </w:tcPr>
          <w:p w14:paraId="06440A8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23</w:t>
            </w:r>
          </w:p>
        </w:tc>
        <w:tc>
          <w:tcPr>
            <w:tcW w:w="650" w:type="dxa"/>
            <w:noWrap/>
            <w:hideMark/>
          </w:tcPr>
          <w:p w14:paraId="7B554E0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23</w:t>
            </w:r>
          </w:p>
        </w:tc>
        <w:tc>
          <w:tcPr>
            <w:tcW w:w="517" w:type="dxa"/>
            <w:noWrap/>
            <w:hideMark/>
          </w:tcPr>
          <w:p w14:paraId="129EA8E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0</w:t>
            </w:r>
          </w:p>
        </w:tc>
        <w:tc>
          <w:tcPr>
            <w:tcW w:w="767" w:type="dxa"/>
            <w:noWrap/>
            <w:hideMark/>
          </w:tcPr>
          <w:p w14:paraId="6BC34BD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22,1</w:t>
            </w:r>
          </w:p>
        </w:tc>
        <w:tc>
          <w:tcPr>
            <w:tcW w:w="695" w:type="dxa"/>
            <w:noWrap/>
            <w:hideMark/>
          </w:tcPr>
          <w:p w14:paraId="3E4226D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18-28</w:t>
            </w:r>
          </w:p>
        </w:tc>
        <w:tc>
          <w:tcPr>
            <w:tcW w:w="1907" w:type="dxa"/>
            <w:noWrap/>
            <w:hideMark/>
          </w:tcPr>
          <w:p w14:paraId="0AD9D484"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words</w:t>
            </w:r>
          </w:p>
        </w:tc>
        <w:tc>
          <w:tcPr>
            <w:tcW w:w="445" w:type="dxa"/>
            <w:noWrap/>
            <w:hideMark/>
          </w:tcPr>
          <w:p w14:paraId="61BA727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17</w:t>
            </w:r>
          </w:p>
        </w:tc>
        <w:tc>
          <w:tcPr>
            <w:tcW w:w="1681" w:type="dxa"/>
            <w:noWrap/>
            <w:hideMark/>
          </w:tcPr>
          <w:p w14:paraId="48C62702"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1.5T Horizon GE</w:t>
            </w:r>
          </w:p>
        </w:tc>
        <w:tc>
          <w:tcPr>
            <w:tcW w:w="1547" w:type="dxa"/>
            <w:noWrap/>
            <w:hideMark/>
          </w:tcPr>
          <w:p w14:paraId="74D3412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677775AB"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6CEA0EB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6000</w:t>
            </w:r>
          </w:p>
        </w:tc>
        <w:tc>
          <w:tcPr>
            <w:tcW w:w="1146" w:type="dxa"/>
            <w:noWrap/>
            <w:hideMark/>
          </w:tcPr>
          <w:p w14:paraId="6A445EE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3.75</w:t>
            </w:r>
          </w:p>
        </w:tc>
      </w:tr>
      <w:tr w:rsidR="003D1F45" w:rsidRPr="00101744" w14:paraId="6F13C770" w14:textId="77777777" w:rsidTr="00B60BB2">
        <w:trPr>
          <w:trHeight w:val="300"/>
        </w:trPr>
        <w:tc>
          <w:tcPr>
            <w:tcW w:w="2269" w:type="dxa"/>
            <w:noWrap/>
            <w:vAlign w:val="center"/>
            <w:hideMark/>
          </w:tcPr>
          <w:p w14:paraId="0A49C7AE" w14:textId="36C66351"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{"citationItems":[{"id":"ITEM-1","itemData":{"DOI":"10.1016/j.neuroimage.2004.12.013","ISSN":"1053-8119","PMID":"15809000","abstract":"Context exerts a powerful effect on cognitive performance and is clearly important for language processing, where lexical, sentential, and narrative contexts should differentially engage neural systems that support lexical, compositional, and discourse level semantics. Equally important, but thus far unexplored, is the role of context within narrative, as cognitive demands evolve and brain activity changes dynamically as subjects process different narrative segments. In this study, we used fMRI to examine the impact of context, comparing responses to a single, linguistically matched set of texts when these were differentially presented as random word lists, unconnected sentences and coherent narratives. We found emergent, context-dependent patterns of brain activity in each condition. Perisylvian language areas were always active, consistent with their supporting core linguistic computations. Sentence processing was associated with expanded activation of the frontal operculum and temporal poles. The same stimuli presented as narrative evoked robust responses in extrasylvian areas within both hemispheres, including precuneus, medial prefrontal, and dorsal temporo-parieto-occipital cortices. The right hemisphere was increasi</w:instrText>
            </w:r>
            <w:r w:rsidR="00C14016">
              <w:rPr>
                <w:rFonts w:ascii="Arial" w:hAnsi="Arial" w:cs="Arial"/>
                <w:color w:val="000000"/>
                <w:sz w:val="18"/>
                <w:szCs w:val="18"/>
                <w:lang w:eastAsia="pt-PT"/>
              </w:rPr>
              <w:instrText>ngly active as contextual complexity increased, maximal at the narrative level. Furthermore, brain activity was dynamically modulated as subjects processed different narrative segments: left hemisphere activity was more prominent at the onset, and right hemisphere more prominent at the resolution of a story, at which point, it may support a coherent representation of the narrative as a whole. These results underscore the importance of studying language in an ecologically valid context, suggesting a neural model for the processing of discourse.","author":[{"dropping-particle":"","family":"Xu","given":"Jiang","non-dropping-particle":"","parse-names":false,"suffix":""},{"dropping-particle":"","family":"Kemeny","given":"Stefan","non-dropping-particle":"","parse-names":false,"suffix":""},{"dropping-particle":"","family":"Park","given":"Grace","non-dropping-particle":"","parse-names":false,"suffix":""},{"dropping-particle":"","family":"Frattali","given":"Carol","non-dropping-particle":"","parse-names":false,"suffix":""},{"dropping-particle":"","family":"Braun","given":"Allen","non-dropping-particle":"","parse-names":false,"suffix":""}],"container-title":"NeuroImage","id":"ITEM-1","issue":"3","issued":{"date-parts":[["2005","4","15"]]},"page":"1002-15","title":"Language in context: emergent features of word, sentence, and narrative comprehension.","type":"article-journal","volume":"25"},"uris":["http://www.mendeley.com/documents/?uuid=f9dd7079-b1f4-3bf9-b737-d0453bb098b6"]}],"mendeley":{"formattedCitation":"(Xu et al. 2005)","plainTextFormattedCitation":"(Xu et al. 2005)","previouslyFormattedCitation":"&lt;sup&gt;67&lt;/sup&gt;"},"properties":{"noteIndex":0},"schema":"https://github.com/citation-style-language/schema/raw/master/csl-citation.json"}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(Xu et al. 2005)</w:t>
            </w:r>
            <w:r w:rsidRPr="00101744">
              <w:rPr>
                <w:rFonts w:ascii="Arial" w:eastAsia="Times New Roman" w:hAnsi="Arial" w:cs="Arial"/>
                <w:color w:val="000000"/>
                <w:sz w:val="18"/>
                <w:szCs w:val="18"/>
                <w:lang w:val="en-US" w:eastAsia="pt-PT"/>
              </w:rPr>
              <w:fldChar w:fldCharType="end"/>
            </w:r>
          </w:p>
        </w:tc>
        <w:tc>
          <w:tcPr>
            <w:tcW w:w="709" w:type="dxa"/>
            <w:noWrap/>
            <w:hideMark/>
          </w:tcPr>
          <w:p w14:paraId="4B7E18B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22</w:t>
            </w:r>
          </w:p>
        </w:tc>
        <w:tc>
          <w:tcPr>
            <w:tcW w:w="650" w:type="dxa"/>
            <w:noWrap/>
            <w:hideMark/>
          </w:tcPr>
          <w:p w14:paraId="3F87927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22</w:t>
            </w:r>
          </w:p>
        </w:tc>
        <w:tc>
          <w:tcPr>
            <w:tcW w:w="517" w:type="dxa"/>
            <w:noWrap/>
            <w:hideMark/>
          </w:tcPr>
          <w:p w14:paraId="4F0A41C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0</w:t>
            </w:r>
          </w:p>
        </w:tc>
        <w:tc>
          <w:tcPr>
            <w:tcW w:w="767" w:type="dxa"/>
            <w:noWrap/>
            <w:hideMark/>
          </w:tcPr>
          <w:p w14:paraId="578A871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34</w:t>
            </w:r>
          </w:p>
        </w:tc>
        <w:tc>
          <w:tcPr>
            <w:tcW w:w="695" w:type="dxa"/>
            <w:noWrap/>
            <w:hideMark/>
          </w:tcPr>
          <w:p w14:paraId="786DA41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21-65</w:t>
            </w:r>
          </w:p>
        </w:tc>
        <w:tc>
          <w:tcPr>
            <w:tcW w:w="1907" w:type="dxa"/>
            <w:noWrap/>
            <w:hideMark/>
          </w:tcPr>
          <w:p w14:paraId="213C2626"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sentences</w:t>
            </w:r>
          </w:p>
        </w:tc>
        <w:tc>
          <w:tcPr>
            <w:tcW w:w="445" w:type="dxa"/>
            <w:noWrap/>
            <w:hideMark/>
          </w:tcPr>
          <w:p w14:paraId="1B9050F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17</w:t>
            </w:r>
          </w:p>
        </w:tc>
        <w:tc>
          <w:tcPr>
            <w:tcW w:w="1681" w:type="dxa"/>
            <w:noWrap/>
            <w:hideMark/>
          </w:tcPr>
          <w:p w14:paraId="0A7E6F9E"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3T GE</w:t>
            </w:r>
          </w:p>
        </w:tc>
        <w:tc>
          <w:tcPr>
            <w:tcW w:w="1547" w:type="dxa"/>
            <w:noWrap/>
            <w:hideMark/>
          </w:tcPr>
          <w:p w14:paraId="2F8CC51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46728C4D"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Punc</w:t>
            </w:r>
            <w:proofErr w:type="spellEnd"/>
            <w:r w:rsidRPr="00101744">
              <w:rPr>
                <w:rFonts w:ascii="Arial" w:eastAsia="Times New Roman" w:hAnsi="Arial" w:cs="Arial"/>
                <w:color w:val="000000"/>
                <w:sz w:val="18"/>
                <w:szCs w:val="18"/>
                <w:lang w:val="en-US" w:eastAsia="pt-PT"/>
              </w:rPr>
              <w:t>&lt;0.001</w:t>
            </w:r>
          </w:p>
        </w:tc>
        <w:tc>
          <w:tcPr>
            <w:tcW w:w="717" w:type="dxa"/>
            <w:noWrap/>
            <w:hideMark/>
          </w:tcPr>
          <w:p w14:paraId="337D4A9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6" w:type="dxa"/>
            <w:noWrap/>
            <w:hideMark/>
          </w:tcPr>
          <w:p w14:paraId="68A3CD9C" w14:textId="77777777" w:rsidR="003D1F45" w:rsidRPr="00101744" w:rsidRDefault="003D1F45" w:rsidP="00B60BB2">
            <w:pPr>
              <w:jc w:val="center"/>
              <w:rPr>
                <w:rFonts w:ascii="Arial" w:eastAsia="Times New Roman" w:hAnsi="Arial" w:cs="Arial"/>
                <w:color w:val="000000"/>
                <w:sz w:val="18"/>
                <w:szCs w:val="18"/>
                <w:lang w:val="en-US" w:eastAsia="pt-PT"/>
              </w:rPr>
            </w:pPr>
          </w:p>
        </w:tc>
      </w:tr>
      <w:tr w:rsidR="003D1F45" w:rsidRPr="00101744" w14:paraId="7D62B4E3" w14:textId="77777777" w:rsidTr="00B60BB2">
        <w:trPr>
          <w:trHeight w:val="300"/>
        </w:trPr>
        <w:tc>
          <w:tcPr>
            <w:tcW w:w="2269" w:type="dxa"/>
            <w:noWrap/>
            <w:vAlign w:val="center"/>
            <w:hideMark/>
          </w:tcPr>
          <w:p w14:paraId="64D717DC" w14:textId="74438A97"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{"citationItems":[{"id":"ITEM-1","itemData":{"DOI":"10.1016/j.brainres.2006.02.049","ISSN":"00068993","PMID":"16574082","abstract":"The cognitive mechanisms involved in polysyllabic pseudo-word processing -- and their neurobiological correlates -- were studied through the analysis of length effects on French words and pseudo-words in reading and lexical decision. Connectionist simulations conducted on the ACV98 network paralleled the behavioral data in showing a strong length effect on naming latencies for pseudo-words only and the absence of length effect for both words and pseudo-words in lexical decision. Length effects in reading were characterized at the neurobiological level by a significant and specific activity increase for pseudo-words as compared to words in the right lingual gyrus (BA 19), the left superior parietal lobule and precuneus (BA7), the left middle temporal gyrus (BA21) and the left cerebellum. The behavioral results suggest that polysyllabic pseudo-word reading mainly relies on an analytic procedure. At the biological level, additional activations in visual and visual attentional brain areas during long pseudo-word reading emphasize the role of visual and visual attentional processes in pseudo-word reading. The present findings place important constraints on theories of reading in suggesting the involvement of a serial mechanism based on visual attentional processing in pseudo-word reading.","author":[{"dropping-particle":"","family":"Valdois","given":"S.","non-dropping-particle":"","parse-names":false,"suffix":""},{"dropping-particle":"","family":"Carbonnel","given":"S.","non-dropping-particle":"","parse-names":false,"suffix":""},{"dropping-particle":"","family":"Juphard","given":"A.","non-dropping-particle":"","parse-names":false,"suffix":""},{"dropping-particle":"","family":"Baciu","given":"M.","non-dropping-particle":"","parse-names":false,"suffix":""},{"dropping-particle":"","family":"Ans","given":"B.","non-dropping-particle":"","parse-names":false,"suffix":""},{"dropping-particle":"","family":"Peyrin","given":"C.","non-dropping-particle":"","parse-names":false,"suffix":""},{"dropping-particle":"","family":"Segebarth","given":"C.","non-dropping-particle":"","parse-names":false,"suffix":""}],"container-title":"Brain Research","id":"ITEM-1","issue":"1","issued":{"date-parts":[["2006","4","26"]]},"page":"149-162","title":"Polysyllabic pseudo-word processing in reading and lexical decision: Converging evidence from behavioral data, connectionist simulations and functional MRI","type":"article-journal","volume":"1085"},"uris":["http://www.mendeley.com/documents/?uuid=bb607ce7-e658-3e30-86de-dfcd61bce2b8"]}],"mendeley":{"formattedCitation":"(Valdois et al. 2006)","plainTextFormattedCitation":"(Valdois et al. 2006)","previouslyFormattedCitation":"&lt;sup&gt;68&lt;/sup&gt;"},"properties":{"noteIndex":0},"schema":"https://github.com/citation-style-language/schema/raw/master/csl-citation.json"}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(Valdois et al. 2006)</w:t>
            </w:r>
            <w:r w:rsidRPr="00101744">
              <w:rPr>
                <w:rFonts w:ascii="Arial" w:eastAsia="Times New Roman" w:hAnsi="Arial" w:cs="Arial"/>
                <w:color w:val="000000"/>
                <w:sz w:val="18"/>
                <w:szCs w:val="18"/>
                <w:lang w:val="en-US" w:eastAsia="pt-PT"/>
              </w:rPr>
              <w:fldChar w:fldCharType="end"/>
            </w:r>
          </w:p>
        </w:tc>
        <w:tc>
          <w:tcPr>
            <w:tcW w:w="709" w:type="dxa"/>
            <w:noWrap/>
            <w:hideMark/>
          </w:tcPr>
          <w:p w14:paraId="2ABB3CA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w:t>
            </w:r>
          </w:p>
        </w:tc>
        <w:tc>
          <w:tcPr>
            <w:tcW w:w="650" w:type="dxa"/>
            <w:noWrap/>
            <w:hideMark/>
          </w:tcPr>
          <w:p w14:paraId="6C126B1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14</w:t>
            </w:r>
          </w:p>
        </w:tc>
        <w:tc>
          <w:tcPr>
            <w:tcW w:w="517" w:type="dxa"/>
            <w:noWrap/>
            <w:hideMark/>
          </w:tcPr>
          <w:p w14:paraId="19A359C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6</w:t>
            </w:r>
          </w:p>
        </w:tc>
        <w:tc>
          <w:tcPr>
            <w:tcW w:w="767" w:type="dxa"/>
            <w:noWrap/>
            <w:hideMark/>
          </w:tcPr>
          <w:p w14:paraId="2AB8DE7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23</w:t>
            </w:r>
          </w:p>
        </w:tc>
        <w:tc>
          <w:tcPr>
            <w:tcW w:w="695" w:type="dxa"/>
            <w:noWrap/>
            <w:hideMark/>
          </w:tcPr>
          <w:p w14:paraId="113B88FF"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907" w:type="dxa"/>
            <w:noWrap/>
            <w:hideMark/>
          </w:tcPr>
          <w:p w14:paraId="34036B97"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w:t>
            </w:r>
          </w:p>
        </w:tc>
        <w:tc>
          <w:tcPr>
            <w:tcW w:w="445" w:type="dxa"/>
            <w:noWrap/>
            <w:hideMark/>
          </w:tcPr>
          <w:p w14:paraId="0243483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19</w:t>
            </w:r>
          </w:p>
        </w:tc>
        <w:tc>
          <w:tcPr>
            <w:tcW w:w="1681" w:type="dxa"/>
            <w:noWrap/>
            <w:hideMark/>
          </w:tcPr>
          <w:p w14:paraId="6A371177"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1.5T Philips</w:t>
            </w:r>
          </w:p>
        </w:tc>
        <w:tc>
          <w:tcPr>
            <w:tcW w:w="1547" w:type="dxa"/>
            <w:noWrap/>
            <w:hideMark/>
          </w:tcPr>
          <w:p w14:paraId="5DA6031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SPM99</w:t>
            </w:r>
          </w:p>
        </w:tc>
        <w:tc>
          <w:tcPr>
            <w:tcW w:w="1855" w:type="dxa"/>
            <w:noWrap/>
            <w:hideMark/>
          </w:tcPr>
          <w:p w14:paraId="44D223D6"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eastAsia="pt-PT"/>
              </w:rPr>
              <w:t>voxelwise</w:t>
            </w:r>
            <w:proofErr w:type="spellEnd"/>
            <w:r w:rsidRPr="00101744">
              <w:rPr>
                <w:rFonts w:ascii="Arial" w:eastAsia="Times New Roman" w:hAnsi="Arial" w:cs="Arial"/>
                <w:color w:val="000000"/>
                <w:sz w:val="18"/>
                <w:szCs w:val="18"/>
                <w:lang w:val="en-US" w:eastAsia="pt-PT"/>
              </w:rPr>
              <w:t xml:space="preserve"> threshold p&lt;0.001</w:t>
            </w:r>
          </w:p>
        </w:tc>
        <w:tc>
          <w:tcPr>
            <w:tcW w:w="717" w:type="dxa"/>
            <w:noWrap/>
            <w:hideMark/>
          </w:tcPr>
          <w:p w14:paraId="4CB59A5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6" w:type="dxa"/>
            <w:noWrap/>
            <w:hideMark/>
          </w:tcPr>
          <w:p w14:paraId="6DEECE06" w14:textId="77777777" w:rsidR="003D1F45" w:rsidRPr="00101744" w:rsidRDefault="003D1F45" w:rsidP="00B60BB2">
            <w:pPr>
              <w:jc w:val="center"/>
              <w:rPr>
                <w:rFonts w:ascii="Arial" w:eastAsia="Times New Roman" w:hAnsi="Arial" w:cs="Arial"/>
                <w:color w:val="000000"/>
                <w:sz w:val="18"/>
                <w:szCs w:val="18"/>
                <w:lang w:val="en-US" w:eastAsia="pt-PT"/>
              </w:rPr>
            </w:pPr>
          </w:p>
        </w:tc>
      </w:tr>
      <w:tr w:rsidR="003D1F45" w:rsidRPr="00101744" w14:paraId="2A27B366" w14:textId="77777777" w:rsidTr="00B60BB2">
        <w:trPr>
          <w:trHeight w:val="300"/>
        </w:trPr>
        <w:tc>
          <w:tcPr>
            <w:tcW w:w="2269" w:type="dxa"/>
            <w:noWrap/>
            <w:vAlign w:val="center"/>
            <w:hideMark/>
          </w:tcPr>
          <w:p w14:paraId="4EC25A48" w14:textId="414CA9B7" w:rsidR="003D1F45" w:rsidRPr="00101744" w:rsidRDefault="003D1F45" w:rsidP="00C14016">
            <w:pPr>
              <w:rPr>
                <w:rFonts w:ascii="Arial" w:eastAsia="Times New Roman" w:hAnsi="Arial" w:cs="Arial"/>
                <w:b/>
                <w:bCs/>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{"citationItems":[{"id":"ITEM-1","itemData":{"DOI":"10.1016/j.neuron.2007.05.031","ISSN":"08966273","PMID":"17610823","abstract":"Visual word recognition has been proposed to rely on a hierarchy of increasingly complex neuronal detectors, from individual letters to bigrams and morphemes. We used fMRI to test whether such a hierarchy is present in the left occipitotemporal cortex, at the site of the visual word-form area, and with an anterior-to-posterior progression. We exposed adult readers to (1) false-font strings; (2) strings of infrequent letters; (3) strings of frequent letters but rare bigrams; (4) strings with frequent bigrams but rare quadrigrams; (5) strings with frequent quadrigrams; (6) real words. A gradient of selectivity was observed through the entire span of the occipitotemporal cortex, with activation becoming more selective for higher-level stimuli toward the anterior fusiform region. A similar gradient was also seen in left inferior frontoinsular cortex. Those gradients were asymmetrical in favor of the left hemisphere. We conclude that the left occipitotemporal visual word-form area, far from being a homogeneous structure, presents a high degree of functional and spatial hierarchical organization which must result from a tuning process during reading acquisition.","author":[{"dropping-particle":"","family":"Vinckier","given":"Fabien","non-dropping-particle":"","parse-names":false,"suffix":""},{"dropping-particle":"","family":"Dehaene","given":"Stanislas","non-dropping-particle":"","parse-names":false,"suffix":""},{"dropping-particle":"","family":"Jobert","given":"Antoinette","non-dropping-particle":"","parse-names":false,"suffix":""},{"dropping-particle":"","family":"Dubus","given":"Jean Philippe","non-dropping-particle":"","parse-names":false,"suffix":""},{"dropping-particle":"","family":"Sigman","given":"Mariano","non-dropping-particle":"","parse-names":false,"suffix":""},{"dropping-particle":"","family":"Cohen","given":"Laurent","non-dropping-particle":"","parse-names":false,"suffix":""}],"container-title":"Neuron","id":"ITEM-1","issue":"1","issued":{"date-parts":[["2007","7","5"]]},"page":"143-156","title":"Hierarchical Coding of Letter Strings in the Ventral Stream: Dissecting the Inner Organization of the Visual Word-Form System","type":"article-journal","volume":"55"},"uris":["http://www.mendeley.com/documents/?uuid=0dc8b86a-a1d5-3ef3-81aa-a6c2b2db5cfe"]}],"mendeley":{"formattedCitation":"(Vinckier et al. 2007)","plainTextFormattedCitation":"(Vinckier et al. 2007)","previouslyFormattedCitation":"&lt;sup&gt;69&lt;/sup&gt;"},"properties":{"noteIndex":0},"schema":"https://github.com/citation-style-language/schema/raw/master/csl-citation.json"}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(Vinckier et al. 2007)</w:t>
            </w:r>
            <w:r w:rsidRPr="00101744">
              <w:rPr>
                <w:rFonts w:ascii="Arial" w:eastAsia="Times New Roman" w:hAnsi="Arial" w:cs="Arial"/>
                <w:color w:val="000000"/>
                <w:sz w:val="18"/>
                <w:szCs w:val="18"/>
                <w:lang w:val="en-US" w:eastAsia="pt-PT"/>
              </w:rPr>
              <w:fldChar w:fldCharType="end"/>
            </w:r>
          </w:p>
        </w:tc>
        <w:tc>
          <w:tcPr>
            <w:tcW w:w="709" w:type="dxa"/>
            <w:noWrap/>
            <w:hideMark/>
          </w:tcPr>
          <w:p w14:paraId="110E52B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12</w:t>
            </w:r>
          </w:p>
        </w:tc>
        <w:tc>
          <w:tcPr>
            <w:tcW w:w="650" w:type="dxa"/>
            <w:noWrap/>
            <w:hideMark/>
          </w:tcPr>
          <w:p w14:paraId="6D876EF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c>
          <w:tcPr>
            <w:tcW w:w="517" w:type="dxa"/>
            <w:noWrap/>
            <w:hideMark/>
          </w:tcPr>
          <w:p w14:paraId="7FBA21E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8</w:t>
            </w:r>
          </w:p>
        </w:tc>
        <w:tc>
          <w:tcPr>
            <w:tcW w:w="767" w:type="dxa"/>
            <w:noWrap/>
            <w:hideMark/>
          </w:tcPr>
          <w:p w14:paraId="22B358B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24</w:t>
            </w:r>
          </w:p>
        </w:tc>
        <w:tc>
          <w:tcPr>
            <w:tcW w:w="695" w:type="dxa"/>
            <w:noWrap/>
            <w:hideMark/>
          </w:tcPr>
          <w:p w14:paraId="555FF897"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907" w:type="dxa"/>
            <w:noWrap/>
            <w:hideMark/>
          </w:tcPr>
          <w:p w14:paraId="5DD09FF5"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Reading Words</w:t>
            </w:r>
          </w:p>
        </w:tc>
        <w:tc>
          <w:tcPr>
            <w:tcW w:w="445" w:type="dxa"/>
            <w:noWrap/>
            <w:hideMark/>
          </w:tcPr>
          <w:p w14:paraId="2795517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10</w:t>
            </w:r>
          </w:p>
        </w:tc>
        <w:tc>
          <w:tcPr>
            <w:tcW w:w="1681" w:type="dxa"/>
            <w:noWrap/>
            <w:hideMark/>
          </w:tcPr>
          <w:p w14:paraId="26625B48" w14:textId="77777777" w:rsidR="003D1F45" w:rsidRPr="00101744" w:rsidRDefault="003D1F45" w:rsidP="00B60BB2">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3T Bruker</w:t>
            </w:r>
          </w:p>
        </w:tc>
        <w:tc>
          <w:tcPr>
            <w:tcW w:w="1547" w:type="dxa"/>
            <w:noWrap/>
            <w:hideMark/>
          </w:tcPr>
          <w:p w14:paraId="26549CF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SPM2</w:t>
            </w:r>
          </w:p>
        </w:tc>
        <w:tc>
          <w:tcPr>
            <w:tcW w:w="1855" w:type="dxa"/>
            <w:noWrap/>
            <w:hideMark/>
          </w:tcPr>
          <w:p w14:paraId="17169855"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717" w:type="dxa"/>
            <w:noWrap/>
            <w:hideMark/>
          </w:tcPr>
          <w:p w14:paraId="58DEBE3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2400</w:t>
            </w:r>
          </w:p>
        </w:tc>
        <w:tc>
          <w:tcPr>
            <w:tcW w:w="1146" w:type="dxa"/>
            <w:noWrap/>
            <w:hideMark/>
          </w:tcPr>
          <w:p w14:paraId="7434D6F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w:t>
            </w:r>
          </w:p>
        </w:tc>
      </w:tr>
      <w:tr w:rsidR="003D1F45" w:rsidRPr="00101744" w14:paraId="1430E59C" w14:textId="77777777" w:rsidTr="00B60BB2">
        <w:trPr>
          <w:trHeight w:val="300"/>
        </w:trPr>
        <w:tc>
          <w:tcPr>
            <w:tcW w:w="14905" w:type="dxa"/>
            <w:gridSpan w:val="13"/>
            <w:noWrap/>
            <w:hideMark/>
          </w:tcPr>
          <w:p w14:paraId="501A18A9" w14:textId="77777777" w:rsidR="003D1F45" w:rsidRPr="00101744" w:rsidRDefault="003D1F45" w:rsidP="00B60BB2">
            <w:pPr>
              <w:rPr>
                <w:rFonts w:ascii="Arial" w:eastAsia="Times New Roman" w:hAnsi="Arial" w:cs="Arial"/>
                <w:sz w:val="18"/>
                <w:szCs w:val="18"/>
                <w:lang w:val="en-US" w:eastAsia="pt-PT"/>
              </w:rPr>
            </w:pPr>
            <w:proofErr w:type="spellStart"/>
            <w:r w:rsidRPr="00101744">
              <w:rPr>
                <w:rFonts w:ascii="Arial" w:eastAsia="Times New Roman" w:hAnsi="Arial" w:cs="Arial"/>
                <w:sz w:val="18"/>
                <w:szCs w:val="18"/>
                <w:lang w:val="en-US" w:eastAsia="pt-PT"/>
              </w:rPr>
              <w:t>Punc</w:t>
            </w:r>
            <w:proofErr w:type="spellEnd"/>
            <w:r w:rsidRPr="00101744">
              <w:rPr>
                <w:rFonts w:ascii="Arial" w:eastAsia="Times New Roman" w:hAnsi="Arial" w:cs="Arial"/>
                <w:sz w:val="18"/>
                <w:szCs w:val="18"/>
                <w:lang w:val="en-US" w:eastAsia="pt-PT"/>
              </w:rPr>
              <w:t xml:space="preserve">: P value uncorrected; </w:t>
            </w:r>
            <w:proofErr w:type="spellStart"/>
            <w:r w:rsidRPr="00101744">
              <w:rPr>
                <w:rFonts w:ascii="Arial" w:eastAsia="Times New Roman" w:hAnsi="Arial" w:cs="Arial"/>
                <w:sz w:val="18"/>
                <w:szCs w:val="18"/>
                <w:lang w:val="en-US" w:eastAsia="pt-PT"/>
              </w:rPr>
              <w:t>Pcorr</w:t>
            </w:r>
            <w:proofErr w:type="spellEnd"/>
            <w:r w:rsidRPr="00101744">
              <w:rPr>
                <w:rFonts w:ascii="Arial" w:eastAsia="Times New Roman" w:hAnsi="Arial" w:cs="Arial"/>
                <w:sz w:val="18"/>
                <w:szCs w:val="18"/>
                <w:lang w:val="en-US" w:eastAsia="pt-PT"/>
              </w:rPr>
              <w:t xml:space="preserve">: P value corrected for multiple comparisons; M: Male; F: Female; </w:t>
            </w:r>
          </w:p>
        </w:tc>
      </w:tr>
    </w:tbl>
    <w:p w14:paraId="32E55FD3" w14:textId="77777777" w:rsidR="003D1F45" w:rsidRPr="00101744" w:rsidRDefault="003D1F45" w:rsidP="003D1F45">
      <w:pPr>
        <w:spacing w:line="480" w:lineRule="auto"/>
        <w:rPr>
          <w:rFonts w:ascii="Arial" w:eastAsia="Calibri" w:hAnsi="Arial" w:cs="Arial"/>
          <w:b/>
          <w:color w:val="000000"/>
          <w:sz w:val="20"/>
          <w:szCs w:val="20"/>
          <w:lang w:val="en-US"/>
        </w:rPr>
      </w:pPr>
    </w:p>
    <w:p w14:paraId="2499E670" w14:textId="77777777" w:rsidR="003D1F45" w:rsidRPr="00101744" w:rsidRDefault="003D1F45" w:rsidP="003D1F45">
      <w:pPr>
        <w:spacing w:line="480" w:lineRule="auto"/>
        <w:rPr>
          <w:rFonts w:ascii="Arial" w:eastAsia="Calibri" w:hAnsi="Arial" w:cs="Arial"/>
          <w:b/>
          <w:color w:val="000000"/>
          <w:sz w:val="20"/>
          <w:szCs w:val="20"/>
          <w:lang w:val="en-US"/>
        </w:rPr>
      </w:pPr>
      <w:r w:rsidRPr="00101744">
        <w:rPr>
          <w:rFonts w:ascii="Arial" w:eastAsia="Calibri" w:hAnsi="Arial" w:cs="Arial"/>
          <w:b/>
          <w:color w:val="000000"/>
          <w:sz w:val="20"/>
          <w:szCs w:val="20"/>
          <w:lang w:val="en-US"/>
        </w:rPr>
        <w:br w:type="page"/>
      </w:r>
      <w:r w:rsidRPr="00101744">
        <w:rPr>
          <w:rFonts w:ascii="Arial" w:eastAsia="Calibri" w:hAnsi="Arial" w:cs="Arial"/>
          <w:b/>
          <w:color w:val="000000"/>
          <w:sz w:val="20"/>
          <w:szCs w:val="20"/>
          <w:lang w:val="en-US"/>
        </w:rPr>
        <w:lastRenderedPageBreak/>
        <w:t>Table A2. Calculation/arithmetic studies included in the meta-analysis.</w:t>
      </w:r>
    </w:p>
    <w:tbl>
      <w:tblPr>
        <w:tblStyle w:val="TableGrid"/>
        <w:tblW w:w="14743" w:type="dxa"/>
        <w:tblInd w:w="-431" w:type="dxa"/>
        <w:tblLayout w:type="fixed"/>
        <w:tblLook w:val="04A0" w:firstRow="1" w:lastRow="0" w:firstColumn="1" w:lastColumn="0" w:noHBand="0" w:noVBand="1"/>
      </w:tblPr>
      <w:tblGrid>
        <w:gridCol w:w="2269"/>
        <w:gridCol w:w="709"/>
        <w:gridCol w:w="709"/>
        <w:gridCol w:w="571"/>
        <w:gridCol w:w="704"/>
        <w:gridCol w:w="843"/>
        <w:gridCol w:w="6"/>
        <w:gridCol w:w="2262"/>
        <w:gridCol w:w="6"/>
        <w:gridCol w:w="702"/>
        <w:gridCol w:w="6"/>
        <w:gridCol w:w="1704"/>
        <w:gridCol w:w="1064"/>
        <w:gridCol w:w="1377"/>
        <w:gridCol w:w="663"/>
        <w:gridCol w:w="1148"/>
      </w:tblGrid>
      <w:tr w:rsidR="003D1F45" w:rsidRPr="00101744" w14:paraId="31FE55DA" w14:textId="77777777" w:rsidTr="00B60BB2">
        <w:trPr>
          <w:trHeight w:val="300"/>
        </w:trPr>
        <w:tc>
          <w:tcPr>
            <w:tcW w:w="2269" w:type="dxa"/>
            <w:noWrap/>
            <w:hideMark/>
          </w:tcPr>
          <w:p w14:paraId="3F2A26C9" w14:textId="77777777" w:rsidR="003D1F45" w:rsidRPr="00101744" w:rsidRDefault="003D1F45" w:rsidP="00B60BB2">
            <w:pP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Reference</w:t>
            </w:r>
          </w:p>
        </w:tc>
        <w:tc>
          <w:tcPr>
            <w:tcW w:w="709" w:type="dxa"/>
            <w:noWrap/>
            <w:hideMark/>
          </w:tcPr>
          <w:p w14:paraId="4F1ECD87"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N</w:t>
            </w:r>
          </w:p>
        </w:tc>
        <w:tc>
          <w:tcPr>
            <w:tcW w:w="1280" w:type="dxa"/>
            <w:gridSpan w:val="2"/>
            <w:noWrap/>
            <w:hideMark/>
          </w:tcPr>
          <w:p w14:paraId="6BBF8C15"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Gender</w:t>
            </w:r>
          </w:p>
        </w:tc>
        <w:tc>
          <w:tcPr>
            <w:tcW w:w="1553" w:type="dxa"/>
            <w:gridSpan w:val="3"/>
            <w:noWrap/>
            <w:hideMark/>
          </w:tcPr>
          <w:p w14:paraId="2E6DEBE1"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Age (years)</w:t>
            </w:r>
          </w:p>
        </w:tc>
        <w:tc>
          <w:tcPr>
            <w:tcW w:w="2268" w:type="dxa"/>
            <w:gridSpan w:val="2"/>
            <w:noWrap/>
            <w:hideMark/>
          </w:tcPr>
          <w:p w14:paraId="49FEE018"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Task</w:t>
            </w:r>
          </w:p>
        </w:tc>
        <w:tc>
          <w:tcPr>
            <w:tcW w:w="708" w:type="dxa"/>
            <w:gridSpan w:val="2"/>
            <w:noWrap/>
            <w:hideMark/>
          </w:tcPr>
          <w:p w14:paraId="51E7CBE3"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Foci</w:t>
            </w:r>
          </w:p>
        </w:tc>
        <w:tc>
          <w:tcPr>
            <w:tcW w:w="1704" w:type="dxa"/>
          </w:tcPr>
          <w:p w14:paraId="4485B522"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MRI vendor and Field Strength</w:t>
            </w:r>
          </w:p>
        </w:tc>
        <w:tc>
          <w:tcPr>
            <w:tcW w:w="1064" w:type="dxa"/>
          </w:tcPr>
          <w:p w14:paraId="5882A1E2"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Software</w:t>
            </w:r>
          </w:p>
          <w:p w14:paraId="26892E59"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 xml:space="preserve"> Used</w:t>
            </w:r>
          </w:p>
        </w:tc>
        <w:tc>
          <w:tcPr>
            <w:tcW w:w="1377" w:type="dxa"/>
          </w:tcPr>
          <w:p w14:paraId="77C3DE9A"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Statistical threshold</w:t>
            </w:r>
          </w:p>
        </w:tc>
        <w:tc>
          <w:tcPr>
            <w:tcW w:w="663" w:type="dxa"/>
          </w:tcPr>
          <w:p w14:paraId="303FA4B8"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TR (</w:t>
            </w:r>
            <w:proofErr w:type="spellStart"/>
            <w:r w:rsidRPr="00101744">
              <w:rPr>
                <w:rFonts w:ascii="Arial" w:eastAsia="Times New Roman" w:hAnsi="Arial" w:cs="Arial"/>
                <w:b/>
                <w:bCs/>
                <w:color w:val="000000"/>
                <w:sz w:val="18"/>
                <w:szCs w:val="18"/>
                <w:lang w:val="en-US" w:eastAsia="pt-PT"/>
              </w:rPr>
              <w:t>ms</w:t>
            </w:r>
            <w:proofErr w:type="spellEnd"/>
            <w:r w:rsidRPr="00101744">
              <w:rPr>
                <w:rFonts w:ascii="Arial" w:eastAsia="Times New Roman" w:hAnsi="Arial" w:cs="Arial"/>
                <w:b/>
                <w:bCs/>
                <w:color w:val="000000"/>
                <w:sz w:val="18"/>
                <w:szCs w:val="18"/>
                <w:lang w:val="en-US" w:eastAsia="pt-PT"/>
              </w:rPr>
              <w:t>)</w:t>
            </w:r>
          </w:p>
        </w:tc>
        <w:tc>
          <w:tcPr>
            <w:tcW w:w="1148" w:type="dxa"/>
          </w:tcPr>
          <w:p w14:paraId="149EFA8B" w14:textId="77777777" w:rsidR="003D1F45" w:rsidRPr="00101744" w:rsidRDefault="003D1F45" w:rsidP="00B60BB2">
            <w:pPr>
              <w:jc w:val="center"/>
              <w:rPr>
                <w:rFonts w:ascii="Arial" w:eastAsia="Times New Roman" w:hAnsi="Arial" w:cs="Arial"/>
                <w:b/>
                <w:bCs/>
                <w:color w:val="000000"/>
                <w:sz w:val="18"/>
                <w:szCs w:val="18"/>
                <w:lang w:val="en-US" w:eastAsia="pt-PT"/>
              </w:rPr>
            </w:pPr>
            <w:r w:rsidRPr="00101744">
              <w:rPr>
                <w:rFonts w:ascii="Arial" w:eastAsia="Times New Roman" w:hAnsi="Arial" w:cs="Arial"/>
                <w:b/>
                <w:bCs/>
                <w:color w:val="000000"/>
                <w:sz w:val="18"/>
                <w:szCs w:val="18"/>
                <w:lang w:val="en-US" w:eastAsia="pt-PT"/>
              </w:rPr>
              <w:t>Resolution (mm)</w:t>
            </w:r>
          </w:p>
        </w:tc>
      </w:tr>
      <w:tr w:rsidR="003D1F45" w:rsidRPr="00101744" w14:paraId="07AF20B1" w14:textId="77777777" w:rsidTr="00B60BB2">
        <w:trPr>
          <w:trHeight w:val="300"/>
        </w:trPr>
        <w:tc>
          <w:tcPr>
            <w:tcW w:w="2269" w:type="dxa"/>
            <w:noWrap/>
            <w:hideMark/>
          </w:tcPr>
          <w:p w14:paraId="05305E3F" w14:textId="77777777" w:rsidR="003D1F45" w:rsidRPr="00101744" w:rsidRDefault="003D1F45" w:rsidP="00B60BB2">
            <w:pPr>
              <w:rPr>
                <w:rFonts w:ascii="Arial" w:eastAsia="Times New Roman" w:hAnsi="Arial" w:cs="Arial"/>
                <w:b/>
                <w:bCs/>
                <w:color w:val="000000"/>
                <w:sz w:val="18"/>
                <w:szCs w:val="18"/>
                <w:lang w:val="en-US" w:eastAsia="pt-PT"/>
              </w:rPr>
            </w:pPr>
          </w:p>
        </w:tc>
        <w:tc>
          <w:tcPr>
            <w:tcW w:w="709" w:type="dxa"/>
            <w:noWrap/>
            <w:hideMark/>
          </w:tcPr>
          <w:p w14:paraId="2B9C4665" w14:textId="77777777" w:rsidR="003D1F45" w:rsidRPr="00101744" w:rsidRDefault="003D1F45" w:rsidP="00B60BB2">
            <w:pPr>
              <w:jc w:val="center"/>
              <w:rPr>
                <w:rFonts w:ascii="Arial" w:eastAsia="Times New Roman" w:hAnsi="Arial" w:cs="Arial"/>
                <w:sz w:val="18"/>
                <w:szCs w:val="18"/>
                <w:lang w:val="en-US" w:eastAsia="pt-PT"/>
              </w:rPr>
            </w:pPr>
          </w:p>
        </w:tc>
        <w:tc>
          <w:tcPr>
            <w:tcW w:w="709" w:type="dxa"/>
            <w:noWrap/>
            <w:hideMark/>
          </w:tcPr>
          <w:p w14:paraId="25454A5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M</w:t>
            </w:r>
          </w:p>
        </w:tc>
        <w:tc>
          <w:tcPr>
            <w:tcW w:w="571" w:type="dxa"/>
            <w:noWrap/>
            <w:hideMark/>
          </w:tcPr>
          <w:p w14:paraId="6E40ACB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F</w:t>
            </w:r>
          </w:p>
        </w:tc>
        <w:tc>
          <w:tcPr>
            <w:tcW w:w="704" w:type="dxa"/>
            <w:noWrap/>
            <w:hideMark/>
          </w:tcPr>
          <w:p w14:paraId="422DBCA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Mean</w:t>
            </w:r>
          </w:p>
        </w:tc>
        <w:tc>
          <w:tcPr>
            <w:tcW w:w="843" w:type="dxa"/>
            <w:noWrap/>
            <w:hideMark/>
          </w:tcPr>
          <w:p w14:paraId="6FABD92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Range</w:t>
            </w:r>
          </w:p>
        </w:tc>
        <w:tc>
          <w:tcPr>
            <w:tcW w:w="2268" w:type="dxa"/>
            <w:gridSpan w:val="2"/>
            <w:noWrap/>
            <w:hideMark/>
          </w:tcPr>
          <w:p w14:paraId="2EB61EEF"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708" w:type="dxa"/>
            <w:gridSpan w:val="2"/>
            <w:noWrap/>
            <w:hideMark/>
          </w:tcPr>
          <w:p w14:paraId="1BCD7D2F" w14:textId="77777777" w:rsidR="003D1F45" w:rsidRPr="00101744" w:rsidRDefault="003D1F45" w:rsidP="00B60BB2">
            <w:pPr>
              <w:jc w:val="center"/>
              <w:rPr>
                <w:rFonts w:ascii="Arial" w:eastAsia="Times New Roman" w:hAnsi="Arial" w:cs="Arial"/>
                <w:sz w:val="18"/>
                <w:szCs w:val="18"/>
                <w:lang w:val="en-US" w:eastAsia="pt-PT"/>
              </w:rPr>
            </w:pPr>
          </w:p>
        </w:tc>
        <w:tc>
          <w:tcPr>
            <w:tcW w:w="1710" w:type="dxa"/>
            <w:gridSpan w:val="2"/>
          </w:tcPr>
          <w:p w14:paraId="35483D0E" w14:textId="77777777" w:rsidR="003D1F45" w:rsidRPr="00101744" w:rsidRDefault="003D1F45" w:rsidP="00B60BB2">
            <w:pPr>
              <w:jc w:val="center"/>
              <w:rPr>
                <w:rFonts w:ascii="Arial" w:eastAsia="Times New Roman" w:hAnsi="Arial" w:cs="Arial"/>
                <w:sz w:val="18"/>
                <w:szCs w:val="18"/>
                <w:lang w:val="en-US" w:eastAsia="pt-PT"/>
              </w:rPr>
            </w:pPr>
          </w:p>
        </w:tc>
        <w:tc>
          <w:tcPr>
            <w:tcW w:w="1064" w:type="dxa"/>
          </w:tcPr>
          <w:p w14:paraId="2F5B18C8" w14:textId="77777777" w:rsidR="003D1F45" w:rsidRPr="00101744" w:rsidRDefault="003D1F45" w:rsidP="00B60BB2">
            <w:pPr>
              <w:jc w:val="center"/>
              <w:rPr>
                <w:rFonts w:ascii="Arial" w:eastAsia="Times New Roman" w:hAnsi="Arial" w:cs="Arial"/>
                <w:sz w:val="18"/>
                <w:szCs w:val="18"/>
                <w:lang w:val="en-US" w:eastAsia="pt-PT"/>
              </w:rPr>
            </w:pPr>
          </w:p>
        </w:tc>
        <w:tc>
          <w:tcPr>
            <w:tcW w:w="1377" w:type="dxa"/>
          </w:tcPr>
          <w:p w14:paraId="54D26A33" w14:textId="77777777" w:rsidR="003D1F45" w:rsidRPr="00101744" w:rsidRDefault="003D1F45" w:rsidP="00B60BB2">
            <w:pPr>
              <w:jc w:val="center"/>
              <w:rPr>
                <w:rFonts w:ascii="Arial" w:eastAsia="Times New Roman" w:hAnsi="Arial" w:cs="Arial"/>
                <w:sz w:val="18"/>
                <w:szCs w:val="18"/>
                <w:lang w:val="en-US" w:eastAsia="pt-PT"/>
              </w:rPr>
            </w:pPr>
          </w:p>
        </w:tc>
        <w:tc>
          <w:tcPr>
            <w:tcW w:w="663" w:type="dxa"/>
          </w:tcPr>
          <w:p w14:paraId="2741138D" w14:textId="77777777" w:rsidR="003D1F45" w:rsidRPr="00101744" w:rsidRDefault="003D1F45" w:rsidP="00B60BB2">
            <w:pPr>
              <w:jc w:val="center"/>
              <w:rPr>
                <w:rFonts w:ascii="Arial" w:eastAsia="Times New Roman" w:hAnsi="Arial" w:cs="Arial"/>
                <w:sz w:val="18"/>
                <w:szCs w:val="18"/>
                <w:lang w:val="en-US" w:eastAsia="pt-PT"/>
              </w:rPr>
            </w:pPr>
          </w:p>
        </w:tc>
        <w:tc>
          <w:tcPr>
            <w:tcW w:w="1148" w:type="dxa"/>
          </w:tcPr>
          <w:p w14:paraId="0697C6B7" w14:textId="77777777" w:rsidR="003D1F45" w:rsidRPr="00101744" w:rsidRDefault="003D1F45" w:rsidP="00B60BB2">
            <w:pPr>
              <w:jc w:val="center"/>
              <w:rPr>
                <w:rFonts w:ascii="Arial" w:eastAsia="Times New Roman" w:hAnsi="Arial" w:cs="Arial"/>
                <w:sz w:val="18"/>
                <w:szCs w:val="18"/>
                <w:lang w:val="en-US" w:eastAsia="pt-PT"/>
              </w:rPr>
            </w:pPr>
          </w:p>
        </w:tc>
      </w:tr>
      <w:tr w:rsidR="003D1F45" w:rsidRPr="00101744" w14:paraId="4D62E7F0" w14:textId="77777777" w:rsidTr="00B60BB2">
        <w:trPr>
          <w:trHeight w:val="300"/>
        </w:trPr>
        <w:tc>
          <w:tcPr>
            <w:tcW w:w="2269" w:type="dxa"/>
            <w:noWrap/>
            <w:hideMark/>
          </w:tcPr>
          <w:p w14:paraId="6485E158" w14:textId="5A47F828"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{"citationItems":[{"id":"ITEM-1","itemData":{"DOI":"10.1093/cercor/bhi055","ISSN":"1460-2199","PMID":"15716474","abstract":"Arithmetic reasoning is arguably one of the most important cognitive skills a child must master. Here we examine neurodevelopmental changes in mental arithmetic. Subjects (ages 8-19 years) viewed arithmetic equations and were asked to judge whether the results were correct or incorrect. During two-operand addition or subtraction trials, for which accuracy was comparable across age, older subjects showed greater activation in the left parietal cortex, along the supramarginal gyrus and adjoining anterior intra-parietal sulcus as well as the left lateral occipital temporal cortex. These age-related changes were not associated with alterations in gray matter density, and provide novel evidence for increased functional maturation with age. By contrast, younger subjects showed greater activation in the prefrontal cortex, including the dorsolateral and ventrolateral prefrontal cortex and the anterior cingulate cortex, suggesting that they require comparatively more working memory and attentional resources to achieve similar levels of mental arithmetic performance. Younger subjects also showed greater activation of the hippocampus and dorsal basal ganglia, reflecting the greater demands placed on both declarative and procedural memory systems. Our findings provide evidence for a process of increased functional specialization of the left inferior parietal cortex in mental arithmetic, a process that is accompanied by decreased dependence on memory and attentional resources with development.","author":[{"dropping-particle":"","family":"Rivera","given":"S.M.","non-dropping-particle":"","parse-names":false,"suffix":""},{"dropping-particle":"","family":"Reiss","given":"A.L.","non-dropping-particle":"","parse-names":false,"suffix":""},{"dropping-particle":"","family":"Eckert","given":"M.A.","non-dropping-particle":"","parse-names":false,"suffix":""},{"dropping-particle":"","family":"Menon","given":"V.","non-dropping-particle":"","parse-names":false,"suffix":""}],"container-title":"Cerebral Cortex","id":"ITEM-1","issue":"11","issued":{"date-parts":[["2005","11","1"]]},"page":"1779-1790","title":"Developmental Changes in Mental Arithmetic: Evidence for Increased Functional Specialization in the Left Inferior Parietal Cortex","type":"article-journal","volume":"15"},"uris":["http://www.mendeley.com/documents/?uuid=58be7bcd-3a54-3239-8399-b325a0e9c704"]}],"mendeley":{"formattedCitation":"(S.M. Rivera et al. 2005)","plainTextFormattedCitation":"(S.M. Rivera et al. 2005)","previouslyFormattedCitation":"&lt;sup&gt;70&lt;/sup&gt;"},"properties":{"noteIndex":0},"schema":"https://github.com/citation-style-language/schema/raw/master/csl-citation.json"}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(S.M. Rivera et al. 2005)</w:t>
            </w:r>
            <w:r w:rsidRPr="00101744">
              <w:rPr>
                <w:rFonts w:ascii="Arial" w:eastAsia="Times New Roman" w:hAnsi="Arial" w:cs="Arial"/>
                <w:color w:val="000000"/>
                <w:sz w:val="18"/>
                <w:szCs w:val="18"/>
                <w:lang w:val="en-US" w:eastAsia="pt-PT"/>
              </w:rPr>
              <w:fldChar w:fldCharType="end"/>
            </w:r>
          </w:p>
        </w:tc>
        <w:tc>
          <w:tcPr>
            <w:tcW w:w="709" w:type="dxa"/>
            <w:noWrap/>
            <w:hideMark/>
          </w:tcPr>
          <w:p w14:paraId="7F22CBE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17</w:t>
            </w:r>
          </w:p>
        </w:tc>
        <w:tc>
          <w:tcPr>
            <w:tcW w:w="709" w:type="dxa"/>
            <w:noWrap/>
            <w:hideMark/>
          </w:tcPr>
          <w:p w14:paraId="74F53C1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571" w:type="dxa"/>
            <w:noWrap/>
            <w:hideMark/>
          </w:tcPr>
          <w:p w14:paraId="7F0E991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11</w:t>
            </w:r>
          </w:p>
        </w:tc>
        <w:tc>
          <w:tcPr>
            <w:tcW w:w="704" w:type="dxa"/>
            <w:noWrap/>
            <w:hideMark/>
          </w:tcPr>
          <w:p w14:paraId="6E14E33F"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843" w:type="dxa"/>
            <w:noWrap/>
            <w:hideMark/>
          </w:tcPr>
          <w:p w14:paraId="325ECF8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8.53-19</w:t>
            </w:r>
          </w:p>
        </w:tc>
        <w:tc>
          <w:tcPr>
            <w:tcW w:w="2268" w:type="dxa"/>
            <w:gridSpan w:val="2"/>
            <w:noWrap/>
            <w:hideMark/>
          </w:tcPr>
          <w:p w14:paraId="7A4BB68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Arithmetic operations</w:t>
            </w:r>
          </w:p>
        </w:tc>
        <w:tc>
          <w:tcPr>
            <w:tcW w:w="708" w:type="dxa"/>
            <w:gridSpan w:val="2"/>
            <w:noWrap/>
            <w:hideMark/>
          </w:tcPr>
          <w:p w14:paraId="45A5F5A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1710" w:type="dxa"/>
            <w:gridSpan w:val="2"/>
          </w:tcPr>
          <w:p w14:paraId="0ACE639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1.5T </w:t>
            </w:r>
            <w:proofErr w:type="spellStart"/>
            <w:r w:rsidRPr="00101744">
              <w:rPr>
                <w:rFonts w:ascii="Arial" w:eastAsia="Times New Roman" w:hAnsi="Arial" w:cs="Arial"/>
                <w:color w:val="000000"/>
                <w:sz w:val="18"/>
                <w:szCs w:val="18"/>
                <w:lang w:val="en-US"/>
              </w:rPr>
              <w:t>Signa</w:t>
            </w:r>
            <w:proofErr w:type="spellEnd"/>
            <w:r w:rsidRPr="00101744">
              <w:rPr>
                <w:rFonts w:ascii="Arial" w:eastAsia="Times New Roman" w:hAnsi="Arial" w:cs="Arial"/>
                <w:color w:val="000000"/>
                <w:sz w:val="18"/>
                <w:szCs w:val="18"/>
                <w:lang w:val="en-US"/>
              </w:rPr>
              <w:t xml:space="preserve"> GE</w:t>
            </w:r>
          </w:p>
        </w:tc>
        <w:tc>
          <w:tcPr>
            <w:tcW w:w="1064" w:type="dxa"/>
          </w:tcPr>
          <w:p w14:paraId="2ACF296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SPM99</w:t>
            </w:r>
          </w:p>
        </w:tc>
        <w:tc>
          <w:tcPr>
            <w:tcW w:w="1377" w:type="dxa"/>
          </w:tcPr>
          <w:p w14:paraId="6873A822"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Pcluster</w:t>
            </w:r>
            <w:proofErr w:type="spellEnd"/>
            <w:r w:rsidRPr="00101744">
              <w:rPr>
                <w:rFonts w:ascii="Arial" w:eastAsia="Times New Roman" w:hAnsi="Arial" w:cs="Arial"/>
                <w:color w:val="000000"/>
                <w:sz w:val="18"/>
                <w:szCs w:val="18"/>
                <w:lang w:val="en-US"/>
              </w:rPr>
              <w:t>&lt;0.01</w:t>
            </w:r>
          </w:p>
        </w:tc>
        <w:tc>
          <w:tcPr>
            <w:tcW w:w="663" w:type="dxa"/>
          </w:tcPr>
          <w:p w14:paraId="3806132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8" w:type="dxa"/>
          </w:tcPr>
          <w:p w14:paraId="5C19306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4.35</w:t>
            </w:r>
          </w:p>
        </w:tc>
      </w:tr>
      <w:tr w:rsidR="003D1F45" w:rsidRPr="00101744" w14:paraId="576F06F6" w14:textId="77777777" w:rsidTr="00B60BB2">
        <w:trPr>
          <w:trHeight w:val="300"/>
        </w:trPr>
        <w:tc>
          <w:tcPr>
            <w:tcW w:w="2269" w:type="dxa"/>
            <w:noWrap/>
            <w:hideMark/>
          </w:tcPr>
          <w:p w14:paraId="6668BA14" w14:textId="17A51482"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{"citationItems":[{"id":"ITEM-1","itemData":{"DOI":"10.1093/cercor/bhr219","ISSN":"1460-2199","PMID":"21878489","abstract":"The perception and handling of numbers is central to education. Numerous imaging studies have focused on how quantities are encoded in the brain. Yet, only a few studies have touched upon number mining: the ability to extract the magnitude encoded in a visual stimulus. This article aims to characterize how analogue (i.e., disks and dots) and symbolic (i.e., positive and negative integers) formats influence number mining and the representation of quantities. Sixteen adult volunteers completed a comparison task while we recorded the blood oxygen level-dependent response using functional magnetic resonance imaging. The results revealed that a restricted set of specific subdivisions in the right intraparietal sulcus is activated in all conditions. With respect to magnitude assessment, the results show that 1) analogue stimuli are predominantly processed in the right hemisphere and that 2) symbolic stimuli encompass the analogue system and further recruit areas in the left hemisphere. Crucially, we found that polarity is encoded independently from magnitude. We refine the triple-code model by integrating our findings.","author":[{"dropping-particle":"","family":"Chassy","given":"Philippe","non-dropping-particle":"","parse-names":false,"suffix":""},{"dropping-particle":"","family":"Grodd","given":"Wolfgang","non-dropping-particle":"","parse-names":false,"suffix":""}],"container-title":"Cerebral Cortex","id":"ITEM-1","issue":"6","issued":{"date-parts":[["2012","6"]]},"page":"1420-1430","title":"Comparison of Quantities: Core and Format-Dependent Regions as Revealed by fMRI","type":"article-journal","volume":"22"},"uris":["http://www.mendeley.com/documents/?uuid=3f7b6b14-ec52-33ff-a35e-9be214125f5c"]}],"mendeley":{"formattedCitation":"(Chassy and Grodd 2012)","plainTextFormattedCitation":"(Chassy and Grodd 2012)","previouslyFormattedCitation":"&lt;sup&gt;71&lt;/sup&gt;"},"properties":{"noteIndex":0},"schema":"https://github.com/citation-style-language/schema/raw/master/csl-citation.json"}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(Chassy and Grodd 2012)</w:t>
            </w:r>
            <w:r w:rsidRPr="00101744">
              <w:rPr>
                <w:rFonts w:ascii="Arial" w:eastAsia="Times New Roman" w:hAnsi="Arial" w:cs="Arial"/>
                <w:color w:val="000000"/>
                <w:sz w:val="18"/>
                <w:szCs w:val="18"/>
                <w:lang w:val="en-US" w:eastAsia="pt-PT"/>
              </w:rPr>
              <w:fldChar w:fldCharType="end"/>
            </w:r>
          </w:p>
        </w:tc>
        <w:tc>
          <w:tcPr>
            <w:tcW w:w="709" w:type="dxa"/>
            <w:noWrap/>
            <w:hideMark/>
          </w:tcPr>
          <w:p w14:paraId="5AB76D9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16</w:t>
            </w:r>
          </w:p>
        </w:tc>
        <w:tc>
          <w:tcPr>
            <w:tcW w:w="709" w:type="dxa"/>
            <w:noWrap/>
            <w:hideMark/>
          </w:tcPr>
          <w:p w14:paraId="49F3983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16</w:t>
            </w:r>
          </w:p>
        </w:tc>
        <w:tc>
          <w:tcPr>
            <w:tcW w:w="571" w:type="dxa"/>
            <w:noWrap/>
            <w:hideMark/>
          </w:tcPr>
          <w:p w14:paraId="21233A7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0</w:t>
            </w:r>
          </w:p>
        </w:tc>
        <w:tc>
          <w:tcPr>
            <w:tcW w:w="704" w:type="dxa"/>
            <w:noWrap/>
            <w:hideMark/>
          </w:tcPr>
          <w:p w14:paraId="5F86C1D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28.6</w:t>
            </w:r>
          </w:p>
        </w:tc>
        <w:tc>
          <w:tcPr>
            <w:tcW w:w="843" w:type="dxa"/>
            <w:noWrap/>
            <w:hideMark/>
          </w:tcPr>
          <w:p w14:paraId="4FC65FEB"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085A90E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Arithmetic operations</w:t>
            </w:r>
          </w:p>
        </w:tc>
        <w:tc>
          <w:tcPr>
            <w:tcW w:w="708" w:type="dxa"/>
            <w:gridSpan w:val="2"/>
            <w:noWrap/>
            <w:hideMark/>
          </w:tcPr>
          <w:p w14:paraId="157632F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17</w:t>
            </w:r>
          </w:p>
        </w:tc>
        <w:tc>
          <w:tcPr>
            <w:tcW w:w="1710" w:type="dxa"/>
            <w:gridSpan w:val="2"/>
          </w:tcPr>
          <w:p w14:paraId="728E961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Tim Trio Siemens</w:t>
            </w:r>
          </w:p>
        </w:tc>
        <w:tc>
          <w:tcPr>
            <w:tcW w:w="1064" w:type="dxa"/>
          </w:tcPr>
          <w:p w14:paraId="632087B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SPM8</w:t>
            </w:r>
          </w:p>
        </w:tc>
        <w:tc>
          <w:tcPr>
            <w:tcW w:w="1377" w:type="dxa"/>
          </w:tcPr>
          <w:p w14:paraId="7204048C"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&lt;0.0001</w:t>
            </w:r>
          </w:p>
        </w:tc>
        <w:tc>
          <w:tcPr>
            <w:tcW w:w="663" w:type="dxa"/>
          </w:tcPr>
          <w:p w14:paraId="1F2F531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2000</w:t>
            </w:r>
          </w:p>
        </w:tc>
        <w:tc>
          <w:tcPr>
            <w:tcW w:w="1148" w:type="dxa"/>
          </w:tcPr>
          <w:p w14:paraId="75945AD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4</w:t>
            </w:r>
          </w:p>
        </w:tc>
      </w:tr>
      <w:tr w:rsidR="003D1F45" w:rsidRPr="00101744" w14:paraId="15733C70" w14:textId="77777777" w:rsidTr="00B60BB2">
        <w:trPr>
          <w:trHeight w:val="300"/>
        </w:trPr>
        <w:tc>
          <w:tcPr>
            <w:tcW w:w="2269" w:type="dxa"/>
            <w:noWrap/>
            <w:hideMark/>
          </w:tcPr>
          <w:p w14:paraId="596ADF36" w14:textId="0A06902D"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{"citationItems":[{"id":"ITEM-1","itemData":{"DOI":"10.1002/hbm.20720","ISSN":"10659471","PMID":"19172644","abstract":"Neuroimaging studies have revealed a strong link between mental calculation and the angular gyrus (AG) which has been interpreted to reflect arithmetic fact retrieval. Moreover, a stronger AG activation in individuals with higher mathematical competence has been reported. The present fMRI study investigates the specificity of the AG for arithmetic fact learning and the interplay between training and mathematical competence on brain activation. Adults of lower and higher mathematical competence underwent a five-day training on sets of complex multiplication and figural-spatial problems. In the following fMRI test session, trained and untrained problems were presented. Similar training effects were observed in both problem types, consisting of AG activation increases bilaterally and wide-spread activation decreases in frontal and parietal regions. This finding indicates that the AG is not specifically involved in the learning of arithmetic facts. Competence-related differences in the AG only emerged in untrained but not in trained multiplication problems. The relation between AG activation and mathematical competence in arithmetic problem solving therefore seems to be due to differences in arithmetic fact retrieval which can be attenuated through training.","author":[{"dropping-particle":"","family":"Grabner","given":"R</w:instrText>
            </w:r>
            <w:r w:rsidR="00C14016" w:rsidRPr="00C14016">
              <w:rPr>
                <w:rFonts w:ascii="Arial" w:hAnsi="Arial" w:cs="Arial"/>
                <w:color w:val="000000"/>
                <w:sz w:val="18"/>
                <w:szCs w:val="18"/>
                <w:lang w:val="en-GB" w:eastAsia="pt-PT"/>
              </w:rPr>
              <w:instrText>oland H.","non-dropping-particle":"","parse-names":false,"suffix":""},{"dropping-particle":"","family":"Ischebeck","given":"Anja","non-dropping-particle":"","parse-names":false,"suffix":""},{"dropping-particle":"","family":"Reishofer","given":"Gernot","non-dropping-particle":"","parse-names":false,"suffix":""},{"dropping-particle":"","family":"Koschutnig","given":"Karl","non-dropping-particle":"","parse-names":false,"suffix":""},{"dropping-particle":"","family":"Delazer","given":"Margarete","non-dropping-particle":"","parse-names":false,"suffix":""},{"dropping-particle":"","family":"Ebner","given":"Franz","non-dropping-particle":"","parse-names":false,"suffix":""},{"dropping-particle":"","family":"Neuper","given":"Christa","non-dropping-particle":"","parse-names":false,"suffix":""}],"container-title":"Human Brain Mapping","id":"ITEM-1","issue":"9","issued":{"date-parts":[["2009","9","15"]]},"page":"2936-2952","title":"Fact learning in complex arithmetic and figural-spatial tasks: The role of the angular gyrus and its relation to mathematical competence","type":"article-journal","volume":"30"},"uris":["http://www.mendeley.com/documents/?uuid=092cf850-991e-3563-a4be-f001cc1208fb"]}],"mendeley":{"formattedCitation":"(Grabner, Ischebeck, et al. 2009)","plainTextFormattedCitation":"(Grabner, Ischebeck, et al. 2009)","previouslyFormattedCitation":"&lt;sup&gt;72&lt;/sup&gt;"},"properties":{"noteIndex":0},"schema":"https://github.com/citation-style-language/schema/raw/master/csl-citation.json"}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(Grabner, Ischebeck, et al. 2009)</w:t>
            </w:r>
            <w:r w:rsidRPr="00101744">
              <w:rPr>
                <w:rFonts w:ascii="Arial" w:eastAsia="Times New Roman" w:hAnsi="Arial" w:cs="Arial"/>
                <w:color w:val="000000"/>
                <w:sz w:val="18"/>
                <w:szCs w:val="18"/>
                <w:lang w:val="en-US" w:eastAsia="pt-PT"/>
              </w:rPr>
              <w:fldChar w:fldCharType="end"/>
            </w:r>
          </w:p>
        </w:tc>
        <w:tc>
          <w:tcPr>
            <w:tcW w:w="709" w:type="dxa"/>
            <w:noWrap/>
            <w:hideMark/>
          </w:tcPr>
          <w:p w14:paraId="7401FE4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14</w:t>
            </w:r>
          </w:p>
        </w:tc>
        <w:tc>
          <w:tcPr>
            <w:tcW w:w="709" w:type="dxa"/>
            <w:noWrap/>
            <w:hideMark/>
          </w:tcPr>
          <w:p w14:paraId="0B848D3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14</w:t>
            </w:r>
          </w:p>
        </w:tc>
        <w:tc>
          <w:tcPr>
            <w:tcW w:w="571" w:type="dxa"/>
            <w:noWrap/>
            <w:hideMark/>
          </w:tcPr>
          <w:p w14:paraId="772B0D7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0</w:t>
            </w:r>
          </w:p>
        </w:tc>
        <w:tc>
          <w:tcPr>
            <w:tcW w:w="704" w:type="dxa"/>
            <w:noWrap/>
            <w:hideMark/>
          </w:tcPr>
          <w:p w14:paraId="49B15451"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843" w:type="dxa"/>
            <w:noWrap/>
            <w:hideMark/>
          </w:tcPr>
          <w:p w14:paraId="32FC947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22-33</w:t>
            </w:r>
          </w:p>
        </w:tc>
        <w:tc>
          <w:tcPr>
            <w:tcW w:w="2268" w:type="dxa"/>
            <w:gridSpan w:val="2"/>
            <w:noWrap/>
            <w:hideMark/>
          </w:tcPr>
          <w:p w14:paraId="1ED7BE4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 (Multiplication)</w:t>
            </w:r>
          </w:p>
        </w:tc>
        <w:tc>
          <w:tcPr>
            <w:tcW w:w="708" w:type="dxa"/>
            <w:gridSpan w:val="2"/>
            <w:noWrap/>
            <w:hideMark/>
          </w:tcPr>
          <w:p w14:paraId="55AB234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63</w:t>
            </w:r>
          </w:p>
        </w:tc>
        <w:tc>
          <w:tcPr>
            <w:tcW w:w="1710" w:type="dxa"/>
            <w:gridSpan w:val="2"/>
          </w:tcPr>
          <w:p w14:paraId="217515D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Tim Trio Siemens</w:t>
            </w:r>
          </w:p>
        </w:tc>
        <w:tc>
          <w:tcPr>
            <w:tcW w:w="1064" w:type="dxa"/>
          </w:tcPr>
          <w:p w14:paraId="23D391A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SPM5</w:t>
            </w:r>
          </w:p>
        </w:tc>
        <w:tc>
          <w:tcPr>
            <w:tcW w:w="1377" w:type="dxa"/>
          </w:tcPr>
          <w:p w14:paraId="0688790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P(FWE)&lt;0.05</w:t>
            </w:r>
          </w:p>
        </w:tc>
        <w:tc>
          <w:tcPr>
            <w:tcW w:w="663" w:type="dxa"/>
          </w:tcPr>
          <w:p w14:paraId="3C970F6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2800</w:t>
            </w:r>
          </w:p>
        </w:tc>
        <w:tc>
          <w:tcPr>
            <w:tcW w:w="1148" w:type="dxa"/>
          </w:tcPr>
          <w:p w14:paraId="0A37B04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r>
      <w:tr w:rsidR="003D1F45" w:rsidRPr="00101744" w14:paraId="1DF10B4F" w14:textId="77777777" w:rsidTr="00B60BB2">
        <w:trPr>
          <w:trHeight w:val="300"/>
        </w:trPr>
        <w:tc>
          <w:tcPr>
            <w:tcW w:w="2269" w:type="dxa"/>
            <w:noWrap/>
            <w:hideMark/>
          </w:tcPr>
          <w:p w14:paraId="00E24C97" w14:textId="08B01D86"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{"citationItems":[{"id":"ITEM-1","itemData":{"DOI":"10.1016/j.mri.2009.05.010","ISSN":"0730725X","PMID":"19570639","abstract":"Most studies investigating mental numerical processing involve adult participants and little is known about the functioning of these systems in children. The current study used functional magnetic resonance imaging (fMRI) to investigate the neural correlates of numeracy and the influence of age on these correlates with a group of adults and a group of third graders who had average to above average mathematical ability. Participants performed simple and complex versions of exact and approximate calculation tasks while in the magnet. Like adults, children activated a network of brain regions in the frontal and parietal lobes during the calculation tasks, and they recruited additional brain regions for the more complex versions of the tasks. However, direct comparisons between adults and children revealed significant differences in level of activation across all tasks. In particular, patterns of activation in the parietal lobe were significantly different as a function of age. Findings support previous claims that the parietal lobe becomes more specialized for arithmetic tasks with age.","author":[{"dropping-particle":"","family":"Davis","given":"Nicole","non-dropping-particle":"","parse-names":false,"suffix":</w:instrText>
            </w:r>
            <w:r w:rsidR="00C14016">
              <w:rPr>
                <w:rFonts w:ascii="Arial" w:hAnsi="Arial" w:cs="Arial"/>
                <w:color w:val="000000"/>
                <w:sz w:val="18"/>
                <w:szCs w:val="18"/>
                <w:lang w:eastAsia="pt-PT"/>
              </w:rPr>
              <w:instrText>""},{"dropping-particle":"","family":"Cannistraci","given":"Christopher J.","non-dropping-particle":"","parse-names":false,"suffix":""},{"dropping-particle":"","family":"Rogers","given":"Baxter P.","non-dropping-particle":"","parse-names":false,"suffix":""},{"dropping-particle":"","family":"Gatenby","given":"J. Christopher","non-dropping-particle":"","parse-names":false,"suffix":""},{"dropping-particle":"","family":"Fuchs","given":"Lynn S.","non-dropping-particle":"","parse-names":false,"suffix":""},{"dropping-particle":"","family":"Anderson","given":"Adam W.","non-dropping-particle":"","parse-names":false,"suffix":""},{"dropping-particle":"","family":"Gore","given":"John C.","non-dropping-particle":"","parse-names":false,"suffix":""}],"container-title":"Magnetic Resonance Imaging","id":"ITEM-1","issue":"9","issued":{"date-parts":[["2009","11"]]},"page":"1187-1197","title":"The neural correlates of calculation ability in children: an fMRI study","type":"article-journal","volume":"27"},"uris":["http://www.mendeley.com/documents/?uuid=e45df905-3830-36a3-9cbc-8105992ae82a"]}],"mendeley":{"formattedCitation":"(Davis et al. 2009)","plainTextFormattedCitation":"(Davis et al. 2009)","previouslyFormattedCitation":"&lt;sup&gt;73&lt;/sup&gt;"},"properties":{"noteIndex":0},"schema":"https://github.com/citation-style-language/schema/raw/master/csl-citation.json"}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(Davis et al. 2009)</w:t>
            </w:r>
            <w:r w:rsidRPr="00101744">
              <w:rPr>
                <w:rFonts w:ascii="Arial" w:eastAsia="Times New Roman" w:hAnsi="Arial" w:cs="Arial"/>
                <w:color w:val="000000"/>
                <w:sz w:val="18"/>
                <w:szCs w:val="18"/>
                <w:lang w:val="en-US" w:eastAsia="pt-PT"/>
              </w:rPr>
              <w:fldChar w:fldCharType="end"/>
            </w:r>
          </w:p>
        </w:tc>
        <w:tc>
          <w:tcPr>
            <w:tcW w:w="709" w:type="dxa"/>
            <w:noWrap/>
            <w:hideMark/>
          </w:tcPr>
          <w:p w14:paraId="04A0DD4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709" w:type="dxa"/>
            <w:noWrap/>
            <w:hideMark/>
          </w:tcPr>
          <w:p w14:paraId="2A569F6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w:t>
            </w:r>
          </w:p>
        </w:tc>
        <w:tc>
          <w:tcPr>
            <w:tcW w:w="571" w:type="dxa"/>
            <w:noWrap/>
            <w:hideMark/>
          </w:tcPr>
          <w:p w14:paraId="582DFBE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w:t>
            </w:r>
          </w:p>
        </w:tc>
        <w:tc>
          <w:tcPr>
            <w:tcW w:w="704" w:type="dxa"/>
            <w:noWrap/>
            <w:hideMark/>
          </w:tcPr>
          <w:p w14:paraId="7724CFE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30.7</w:t>
            </w:r>
          </w:p>
        </w:tc>
        <w:tc>
          <w:tcPr>
            <w:tcW w:w="843" w:type="dxa"/>
            <w:noWrap/>
            <w:hideMark/>
          </w:tcPr>
          <w:p w14:paraId="5A4894F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25-49</w:t>
            </w:r>
          </w:p>
        </w:tc>
        <w:tc>
          <w:tcPr>
            <w:tcW w:w="2268" w:type="dxa"/>
            <w:gridSpan w:val="2"/>
            <w:noWrap/>
            <w:hideMark/>
          </w:tcPr>
          <w:p w14:paraId="2D872BC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w:t>
            </w:r>
          </w:p>
        </w:tc>
        <w:tc>
          <w:tcPr>
            <w:tcW w:w="708" w:type="dxa"/>
            <w:gridSpan w:val="2"/>
            <w:noWrap/>
            <w:hideMark/>
          </w:tcPr>
          <w:p w14:paraId="35A77B0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60</w:t>
            </w:r>
          </w:p>
        </w:tc>
        <w:tc>
          <w:tcPr>
            <w:tcW w:w="1710" w:type="dxa"/>
            <w:gridSpan w:val="2"/>
          </w:tcPr>
          <w:p w14:paraId="7526F66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3T </w:t>
            </w:r>
            <w:proofErr w:type="spellStart"/>
            <w:r w:rsidRPr="00101744">
              <w:rPr>
                <w:rFonts w:ascii="Arial" w:eastAsia="Times New Roman" w:hAnsi="Arial" w:cs="Arial"/>
                <w:color w:val="000000"/>
                <w:sz w:val="18"/>
                <w:szCs w:val="18"/>
                <w:lang w:val="en-US"/>
              </w:rPr>
              <w:t>Achieva</w:t>
            </w:r>
            <w:proofErr w:type="spellEnd"/>
            <w:r w:rsidRPr="00101744">
              <w:rPr>
                <w:rFonts w:ascii="Arial" w:eastAsia="Times New Roman" w:hAnsi="Arial" w:cs="Arial"/>
                <w:color w:val="000000"/>
                <w:sz w:val="18"/>
                <w:szCs w:val="18"/>
                <w:lang w:val="en-US"/>
              </w:rPr>
              <w:t xml:space="preserve"> Philips</w:t>
            </w:r>
          </w:p>
        </w:tc>
        <w:tc>
          <w:tcPr>
            <w:tcW w:w="1064" w:type="dxa"/>
          </w:tcPr>
          <w:p w14:paraId="72C6F4B3"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Brainvoyager</w:t>
            </w:r>
            <w:proofErr w:type="spellEnd"/>
            <w:r w:rsidRPr="00101744">
              <w:rPr>
                <w:rFonts w:ascii="Arial" w:eastAsia="Times New Roman" w:hAnsi="Arial" w:cs="Arial"/>
                <w:color w:val="000000"/>
                <w:sz w:val="18"/>
                <w:szCs w:val="18"/>
                <w:lang w:val="en-US"/>
              </w:rPr>
              <w:t xml:space="preserve"> QX</w:t>
            </w:r>
          </w:p>
        </w:tc>
        <w:tc>
          <w:tcPr>
            <w:tcW w:w="1377" w:type="dxa"/>
          </w:tcPr>
          <w:p w14:paraId="55A674D5"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voxelwise</w:t>
            </w:r>
            <w:proofErr w:type="spellEnd"/>
            <w:r w:rsidRPr="00101744">
              <w:rPr>
                <w:rFonts w:ascii="Arial" w:eastAsia="Times New Roman" w:hAnsi="Arial" w:cs="Arial"/>
                <w:color w:val="000000"/>
                <w:sz w:val="18"/>
                <w:szCs w:val="18"/>
                <w:lang w:val="en-US"/>
              </w:rPr>
              <w:t xml:space="preserve"> P&lt;0.0001</w:t>
            </w:r>
          </w:p>
        </w:tc>
        <w:tc>
          <w:tcPr>
            <w:tcW w:w="663" w:type="dxa"/>
          </w:tcPr>
          <w:p w14:paraId="6DDCE85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4EC95C9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3.5</w:t>
            </w:r>
          </w:p>
        </w:tc>
      </w:tr>
      <w:tr w:rsidR="003D1F45" w:rsidRPr="00101744" w14:paraId="44252ECB" w14:textId="77777777" w:rsidTr="00B60BB2">
        <w:trPr>
          <w:trHeight w:val="300"/>
        </w:trPr>
        <w:tc>
          <w:tcPr>
            <w:tcW w:w="2269" w:type="dxa"/>
            <w:noWrap/>
            <w:hideMark/>
          </w:tcPr>
          <w:p w14:paraId="434B8701" w14:textId="4320F4F4"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{"citationItems":[{"id":"ITEM-1","itemData":{"DOI":"10.1097/WNR.0b013e328303fd85","ISSN":"0959-4965","PMID":"18596607","abstract":"Only a subset of adults acquires specific advanced mathematical skills, such as integral calculus. The representation of more sophisticated mathematical concepts probably evolved from basic number systems; however its neuroanatomical basis is still unknown. Using fMRI, we investigated the neural basis of integral calculus while healthy participants were engaged in an integration verification task. Solving integrals activated a left-lateralized cortical network including the horizontal intraparietal sulcus, posterior superior parietal lobe, posterior cingulate gyrus, and dorsolateral prefrontal cortex. Our results indicate that solving of more abstract and sophisticated mathematical facts, such as calculus integrals, elicits a pattern of brain activation similar to the cortical network engaged in basic numeric comparison, quantity manipulation, and arithmetic problem solving.","author":[{"dropping-particle":"","family":"Krueger","given":"Frank","non-dropping-particle":"","parse-names":false,"suffix":""},{"dropping-particle":"","family":"Spampinato","given":"Maria Vittoria","non-dropping-particle":"","parse-names":false,"suffix":""},{"dropping-particle":"","family":"Pardini","given":"Matteo","non-dropping-particle":"","parse-names":false,"suffix":""},{"dropping-particle":"","family":"Pajevic","given":"Sinisa","non-dropping-particle":"","parse-names":false,"suffix":""},{"dropping-particle":"","family":"Wood","given":"Jacqueline N.","non-dropping-particle":"","parse-names":false,"suffix":""},{"dropping-particle":"","family":"Weiss","given":"George H.","non-dropping-particle":"","parse-names":false,"suffix":""},{"dropping-particle":"","family":"Landgraf","given":"Steffen","non-dropping-particle":"","parse-names":false,"suffix":""},{"dropping-particle":"","family":"Grafman","given":"Jordan","non-dropping-particle":"","parse-names":false,"suffix":""}],"container-title":"NeuroReport","id":"ITEM-1","issue":"11","issued":{"date-parts":[["2008","7","16"]]},"page":"1095-1099","title":"Integral calculus problem solving: an fMRI investigation","type":"article-journal","volume":"19"},"uris":["http://www.mendeley.com/documents/?uuid=622987d4-223d-3035-872e-cc352e09bc11"]}],"mendeley":{"formattedCitation":"(Krueger et al. 2008)","plainTextFormattedCitation":"(Krueger et al. 2008)","previouslyFormattedCitation":"&lt;sup&gt;74&lt;/sup&gt;"},"properties":{"noteIndex":0},"schema":"https://github.com/citation-style-language/schema/raw/master/csl-citation.json"}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(Krueger et al. 2008)</w:t>
            </w:r>
            <w:r w:rsidRPr="00101744">
              <w:rPr>
                <w:rFonts w:ascii="Arial" w:eastAsia="Times New Roman" w:hAnsi="Arial" w:cs="Arial"/>
                <w:color w:val="000000"/>
                <w:sz w:val="18"/>
                <w:szCs w:val="18"/>
                <w:lang w:val="en-US" w:eastAsia="pt-PT"/>
              </w:rPr>
              <w:fldChar w:fldCharType="end"/>
            </w:r>
          </w:p>
        </w:tc>
        <w:tc>
          <w:tcPr>
            <w:tcW w:w="709" w:type="dxa"/>
            <w:noWrap/>
            <w:hideMark/>
          </w:tcPr>
          <w:p w14:paraId="4386F8C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18</w:t>
            </w:r>
          </w:p>
        </w:tc>
        <w:tc>
          <w:tcPr>
            <w:tcW w:w="709" w:type="dxa"/>
            <w:noWrap/>
            <w:hideMark/>
          </w:tcPr>
          <w:p w14:paraId="2C027B6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13</w:t>
            </w:r>
          </w:p>
        </w:tc>
        <w:tc>
          <w:tcPr>
            <w:tcW w:w="571" w:type="dxa"/>
            <w:noWrap/>
            <w:hideMark/>
          </w:tcPr>
          <w:p w14:paraId="7643FB9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w:t>
            </w:r>
          </w:p>
        </w:tc>
        <w:tc>
          <w:tcPr>
            <w:tcW w:w="704" w:type="dxa"/>
            <w:noWrap/>
            <w:hideMark/>
          </w:tcPr>
          <w:p w14:paraId="291801B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25.3</w:t>
            </w:r>
          </w:p>
        </w:tc>
        <w:tc>
          <w:tcPr>
            <w:tcW w:w="843" w:type="dxa"/>
            <w:noWrap/>
            <w:hideMark/>
          </w:tcPr>
          <w:p w14:paraId="19076B88"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4CB4F8E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Arithmetic operations</w:t>
            </w:r>
          </w:p>
        </w:tc>
        <w:tc>
          <w:tcPr>
            <w:tcW w:w="708" w:type="dxa"/>
            <w:gridSpan w:val="2"/>
            <w:noWrap/>
            <w:hideMark/>
          </w:tcPr>
          <w:p w14:paraId="55BD8E1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12</w:t>
            </w:r>
          </w:p>
        </w:tc>
        <w:tc>
          <w:tcPr>
            <w:tcW w:w="1710" w:type="dxa"/>
            <w:gridSpan w:val="2"/>
          </w:tcPr>
          <w:p w14:paraId="640199F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1.5T GE</w:t>
            </w:r>
          </w:p>
        </w:tc>
        <w:tc>
          <w:tcPr>
            <w:tcW w:w="1064" w:type="dxa"/>
          </w:tcPr>
          <w:p w14:paraId="2C7D8C9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SPM2</w:t>
            </w:r>
          </w:p>
        </w:tc>
        <w:tc>
          <w:tcPr>
            <w:tcW w:w="1377" w:type="dxa"/>
          </w:tcPr>
          <w:p w14:paraId="6787B5E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P(FDR)&lt;0.05</w:t>
            </w:r>
          </w:p>
        </w:tc>
        <w:tc>
          <w:tcPr>
            <w:tcW w:w="663" w:type="dxa"/>
          </w:tcPr>
          <w:p w14:paraId="5C5B37F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327EC3A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3.75</w:t>
            </w:r>
          </w:p>
        </w:tc>
      </w:tr>
      <w:tr w:rsidR="003D1F45" w:rsidRPr="00101744" w14:paraId="5CE0EC5F" w14:textId="77777777" w:rsidTr="00B60BB2">
        <w:trPr>
          <w:trHeight w:val="300"/>
        </w:trPr>
        <w:tc>
          <w:tcPr>
            <w:tcW w:w="2269" w:type="dxa"/>
            <w:noWrap/>
            <w:hideMark/>
          </w:tcPr>
          <w:p w14:paraId="6180FA03" w14:textId="07479C64"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{"citationItems":[{"id":"ITEM-1","itemData":{"DOI":"10.1002/hbm.22666","ISSN":"10659471","PMID":"25327879","abstract":"A central question in cognitive and educational neuroscience is whether brain operations supporting nonlinguistic intuitive number sense (numerosity) predict individual acquisition and academic achievement for symbolic or \"formal\" math knowledge. Here, we conducted a developmental functional magnetic resonance imaging (MRI) study of nonsymbolic numerosity task performance in 44 participants including 14 school age children (6-12 years old), 14 adolescents (13-17 years old), and 16 adults and compared a brain activity measure of numerosity precision to scores from the Woodcock-Johnson III Broad Math index of math academic achievement. Accuracy and reaction time from the numerosity task did not reliably predict formal math achievement. We found a significant positive developmental trend for improved numerosity precision in the parietal cortex and intraparietal sulcus specifically. Controlling for age and overall cognitive ability, we found a reliable positive relationship between individual math achievement scores and parietal lobe activity only in children. In addition, children showed robust positive relationships between math achievement and numerosity precision within ventral stream processing areas bilaterally. The pattern of results suggests a dynamic developmental trajectory for visual discrimination strategies that predict the acquisition of formal math knowledge. In adults, the efficiency of visual discrimination marked by numerosity acuity in ventr</w:instrText>
            </w:r>
            <w:r w:rsidR="00C14016" w:rsidRPr="00C14016">
              <w:rPr>
                <w:rFonts w:ascii="Arial" w:hAnsi="Arial" w:cs="Arial"/>
                <w:color w:val="000000"/>
                <w:sz w:val="18"/>
                <w:szCs w:val="18"/>
                <w:lang w:val="en-GB" w:eastAsia="pt-PT"/>
              </w:rPr>
              <w:instrText>al occipital-temporal cortex and hippocampus differentiated individuals with better or worse formal math achievement, respectively. Overall, these results suggest that two different brain systems for nonsymbolic numerosity acuity may contribute to individual differences in math achievement and that the contribution of these systems differs across development.","author":[{"dropping-particle":"","family":"Haist","given":"Frank","non-dropping-particle":"","parse-names":false,"suffix":""},{"dropping-particle":"","family":"Wazny","given":"Jarnet H.","non-dropping-particle":"","parse-names":false,"suffix":""},{"dropping-particle":"","family":"Toomarian","given":"Elizabeth","non-dropping-particle":"","parse-names":false,"suffix":""},{"dropping-particle":"","family":"Adamo","given":"Maha","non-dropping-particle":"","parse-names":false,"suffix":""}],"container-title":"Human Brain Mapping","id":"ITEM-1","issue":"2","issued":{"date-parts":[["2015","2"]]},"page":"804-826","title":"Development of brain systems for nonsymbolic numerosity and the relationship to formal math academic achievement","type":"article-journal","volume":"36"},"uris":["http://www.mendeley.com/documents/?uuid=e48d1793-b625-3358-bbeb-1c7578ae34eb"]}],"mendeley":{"formattedCitation":"(Haist et al. 2015)","plainTextFormattedCitation":"(Haist et al. 2015)","previouslyFormattedCitation":"&lt;sup&gt;75&lt;/sup&gt;"},"properties":{"noteIndex":0},"schema":"https://github.com/citation-style-language/schema/raw/master/csl-citation.json"}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(Haist et al. 2015)</w:t>
            </w:r>
            <w:r w:rsidRPr="00101744">
              <w:rPr>
                <w:rFonts w:ascii="Arial" w:eastAsia="Times New Roman" w:hAnsi="Arial" w:cs="Arial"/>
                <w:color w:val="000000"/>
                <w:sz w:val="18"/>
                <w:szCs w:val="18"/>
                <w:lang w:val="en-US" w:eastAsia="pt-PT"/>
              </w:rPr>
              <w:fldChar w:fldCharType="end"/>
            </w:r>
          </w:p>
        </w:tc>
        <w:tc>
          <w:tcPr>
            <w:tcW w:w="709" w:type="dxa"/>
            <w:noWrap/>
            <w:hideMark/>
          </w:tcPr>
          <w:p w14:paraId="2C041DE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16</w:t>
            </w:r>
          </w:p>
        </w:tc>
        <w:tc>
          <w:tcPr>
            <w:tcW w:w="709" w:type="dxa"/>
            <w:noWrap/>
            <w:hideMark/>
          </w:tcPr>
          <w:p w14:paraId="34FB23F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571" w:type="dxa"/>
            <w:noWrap/>
            <w:hideMark/>
          </w:tcPr>
          <w:p w14:paraId="219EC14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704" w:type="dxa"/>
            <w:noWrap/>
            <w:hideMark/>
          </w:tcPr>
          <w:p w14:paraId="6269636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22.4</w:t>
            </w:r>
          </w:p>
        </w:tc>
        <w:tc>
          <w:tcPr>
            <w:tcW w:w="843" w:type="dxa"/>
            <w:noWrap/>
            <w:hideMark/>
          </w:tcPr>
          <w:p w14:paraId="001789D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18-34</w:t>
            </w:r>
          </w:p>
        </w:tc>
        <w:tc>
          <w:tcPr>
            <w:tcW w:w="2268" w:type="dxa"/>
            <w:gridSpan w:val="2"/>
            <w:noWrap/>
            <w:hideMark/>
          </w:tcPr>
          <w:p w14:paraId="220FB6A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Calculation</w:t>
            </w:r>
          </w:p>
        </w:tc>
        <w:tc>
          <w:tcPr>
            <w:tcW w:w="708" w:type="dxa"/>
            <w:gridSpan w:val="2"/>
            <w:noWrap/>
            <w:hideMark/>
          </w:tcPr>
          <w:p w14:paraId="4FDEEB5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18</w:t>
            </w:r>
          </w:p>
        </w:tc>
        <w:tc>
          <w:tcPr>
            <w:tcW w:w="1710" w:type="dxa"/>
            <w:gridSpan w:val="2"/>
          </w:tcPr>
          <w:p w14:paraId="35F6C1A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3T </w:t>
            </w:r>
            <w:proofErr w:type="spellStart"/>
            <w:r w:rsidRPr="00101744">
              <w:rPr>
                <w:rFonts w:ascii="Arial" w:eastAsia="Times New Roman" w:hAnsi="Arial" w:cs="Arial"/>
                <w:color w:val="000000"/>
                <w:sz w:val="18"/>
                <w:szCs w:val="18"/>
                <w:lang w:val="en-US"/>
              </w:rPr>
              <w:t>Signa</w:t>
            </w:r>
            <w:proofErr w:type="spellEnd"/>
            <w:r w:rsidRPr="00101744">
              <w:rPr>
                <w:rFonts w:ascii="Arial" w:eastAsia="Times New Roman" w:hAnsi="Arial" w:cs="Arial"/>
                <w:color w:val="000000"/>
                <w:sz w:val="18"/>
                <w:szCs w:val="18"/>
                <w:lang w:val="en-US"/>
              </w:rPr>
              <w:t xml:space="preserve"> GE</w:t>
            </w:r>
          </w:p>
        </w:tc>
        <w:tc>
          <w:tcPr>
            <w:tcW w:w="1064" w:type="dxa"/>
          </w:tcPr>
          <w:p w14:paraId="566F9F6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AFNI</w:t>
            </w:r>
          </w:p>
        </w:tc>
        <w:tc>
          <w:tcPr>
            <w:tcW w:w="1377" w:type="dxa"/>
          </w:tcPr>
          <w:p w14:paraId="1342D856"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voxelwise</w:t>
            </w:r>
            <w:proofErr w:type="spellEnd"/>
            <w:r w:rsidRPr="00101744">
              <w:rPr>
                <w:rFonts w:ascii="Arial" w:eastAsia="Times New Roman" w:hAnsi="Arial" w:cs="Arial"/>
                <w:color w:val="000000"/>
                <w:sz w:val="18"/>
                <w:szCs w:val="18"/>
                <w:lang w:val="en-US"/>
              </w:rPr>
              <w:t xml:space="preserve"> P&lt;0.05</w:t>
            </w:r>
          </w:p>
        </w:tc>
        <w:tc>
          <w:tcPr>
            <w:tcW w:w="663" w:type="dxa"/>
          </w:tcPr>
          <w:p w14:paraId="06720B4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6027407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w:t>
            </w:r>
          </w:p>
        </w:tc>
      </w:tr>
      <w:tr w:rsidR="003D1F45" w:rsidRPr="00101744" w14:paraId="7660551F" w14:textId="77777777" w:rsidTr="00B60BB2">
        <w:trPr>
          <w:trHeight w:val="300"/>
        </w:trPr>
        <w:tc>
          <w:tcPr>
            <w:tcW w:w="2269" w:type="dxa"/>
            <w:noWrap/>
            <w:hideMark/>
          </w:tcPr>
          <w:p w14:paraId="3BD8DBDE" w14:textId="23272E09"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{"citationItems":[{"id":"ITEM-1","itemData":{"DOI":"10.1016/j.brainres.2007.07.043","ISSN":"00068993","PMID":"17822681","abstract":"The issue of how and where arithmetic operations are represented in the brain has been addressed in numerous studies. Lesion studies suggest that a network of different brain areas are involved in mental calculation. Neuroimaging studies have reported inferior parietal and lateral frontal activations during mental arithmetic using tasks of different complexities and using different operators (addition, subtraction, etc.). Indeed, it has been difficult to compare brain activation across studies because of the variety of different operators and different presentation modalities used. The present experiment examined fMRI-BOLD activity in participants during calculation tasks entailing different arithmetic operations -- addition, subtraction, multiplication and division -- of different complexities. Functional imaging data revealed a common activation pattern comprising right precuneus, left and right middle and superior frontal regions during all arithmetic operations. All other regional activations were operation specific and distributed in prominently frontal, parietal and central regions when contrasting complex and simple calculation tasks. The present results largely confirm former studies suggesting that activation patterns due t</w:instrText>
            </w:r>
            <w:r w:rsidR="00C14016">
              <w:rPr>
                <w:rFonts w:ascii="Arial" w:hAnsi="Arial" w:cs="Arial"/>
                <w:color w:val="000000"/>
                <w:sz w:val="18"/>
                <w:szCs w:val="18"/>
                <w:lang w:eastAsia="pt-PT"/>
              </w:rPr>
              <w:instrText>o mental arithmetic appear to reflect a basic anatomical substrate of working memory, numerical knowledge and processing based on finger counting, and derived from a network originally related to finger movement. We emphasize that in mental arithmetic research different arithmetic operations should always be examined and discussed independently of each other in order to avoid invalid generalizations on arithmetics and involved brain areas.","author":[{"dropping-particle":"","family":"Fehr","given":"Thorsten","non-dropping-particle":"","parse-names":false,"suffix":""},{"dropping-particle":"","family":"Code","given":"Chris","non-dropping-particle":"","parse-names":false,"suffix":""},{"dropping-particle":"","family":"Herrmann","given":"Manfred","non-dropping-particle":"","parse-names":false,"suffix":""}],"container-title":"Brain Research","id":"ITEM-1","issued":{"date-parts":[["2007","10","3"]]},"page":"93-102","title":"Common brain regions underlying different arithmetic operations as revealed by conjunct fMRI–BOLD activation","type":"article-journal","volume":"1172"},"uris":["http://www.mendeley.com/documents/?uuid=41724684-2c43-3ad1-9911-c8f667f91d5c"]}],"mendeley":{"formattedCitation":"(Fehr, Code, and Herrmann 2007)","plainTextFormattedCitation":"(Fehr, Code, and Herrmann 2007)","previouslyFormattedCitation":"&lt;sup&gt;76&lt;/sup&gt;"},"properties":{"noteIndex":0},"schema":"https://github.com/citation-style-language/schema/raw/master/csl-citation.json"}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(Fehr, Code, and Herrmann 2007)</w:t>
            </w:r>
            <w:r w:rsidRPr="00101744">
              <w:rPr>
                <w:rFonts w:ascii="Arial" w:eastAsia="Times New Roman" w:hAnsi="Arial" w:cs="Arial"/>
                <w:color w:val="000000"/>
                <w:sz w:val="18"/>
                <w:szCs w:val="18"/>
                <w:lang w:val="en-US" w:eastAsia="pt-PT"/>
              </w:rPr>
              <w:fldChar w:fldCharType="end"/>
            </w:r>
          </w:p>
        </w:tc>
        <w:tc>
          <w:tcPr>
            <w:tcW w:w="709" w:type="dxa"/>
            <w:noWrap/>
            <w:hideMark/>
          </w:tcPr>
          <w:p w14:paraId="0977A7F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11</w:t>
            </w:r>
          </w:p>
        </w:tc>
        <w:tc>
          <w:tcPr>
            <w:tcW w:w="709" w:type="dxa"/>
            <w:noWrap/>
            <w:hideMark/>
          </w:tcPr>
          <w:p w14:paraId="4E72AFA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w:t>
            </w:r>
          </w:p>
        </w:tc>
        <w:tc>
          <w:tcPr>
            <w:tcW w:w="571" w:type="dxa"/>
            <w:noWrap/>
            <w:hideMark/>
          </w:tcPr>
          <w:p w14:paraId="20C9711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704" w:type="dxa"/>
            <w:noWrap/>
            <w:hideMark/>
          </w:tcPr>
          <w:p w14:paraId="6B05180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26.8</w:t>
            </w:r>
          </w:p>
        </w:tc>
        <w:tc>
          <w:tcPr>
            <w:tcW w:w="843" w:type="dxa"/>
            <w:noWrap/>
            <w:hideMark/>
          </w:tcPr>
          <w:p w14:paraId="3D77FB72"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3EF606B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Calculation </w:t>
            </w:r>
          </w:p>
        </w:tc>
        <w:tc>
          <w:tcPr>
            <w:tcW w:w="708" w:type="dxa"/>
            <w:gridSpan w:val="2"/>
            <w:noWrap/>
            <w:hideMark/>
          </w:tcPr>
          <w:p w14:paraId="7F6CDDE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59</w:t>
            </w:r>
          </w:p>
        </w:tc>
        <w:tc>
          <w:tcPr>
            <w:tcW w:w="1710" w:type="dxa"/>
            <w:gridSpan w:val="2"/>
          </w:tcPr>
          <w:p w14:paraId="0E89693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1.5T </w:t>
            </w:r>
            <w:proofErr w:type="spellStart"/>
            <w:r w:rsidRPr="00101744">
              <w:rPr>
                <w:rFonts w:ascii="Arial" w:eastAsia="Times New Roman" w:hAnsi="Arial" w:cs="Arial"/>
                <w:color w:val="000000"/>
                <w:sz w:val="18"/>
                <w:szCs w:val="18"/>
                <w:lang w:val="en-US"/>
              </w:rPr>
              <w:t>Signa</w:t>
            </w:r>
            <w:proofErr w:type="spellEnd"/>
            <w:r w:rsidRPr="00101744">
              <w:rPr>
                <w:rFonts w:ascii="Arial" w:eastAsia="Times New Roman" w:hAnsi="Arial" w:cs="Arial"/>
                <w:color w:val="000000"/>
                <w:sz w:val="18"/>
                <w:szCs w:val="18"/>
                <w:lang w:val="en-US"/>
              </w:rPr>
              <w:t xml:space="preserve"> GE</w:t>
            </w:r>
          </w:p>
        </w:tc>
        <w:tc>
          <w:tcPr>
            <w:tcW w:w="1064" w:type="dxa"/>
          </w:tcPr>
          <w:p w14:paraId="48973B4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SPM2</w:t>
            </w:r>
          </w:p>
        </w:tc>
        <w:tc>
          <w:tcPr>
            <w:tcW w:w="1377" w:type="dxa"/>
          </w:tcPr>
          <w:p w14:paraId="6CC9DEC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P(FDR)&lt;0.01</w:t>
            </w:r>
          </w:p>
        </w:tc>
        <w:tc>
          <w:tcPr>
            <w:tcW w:w="663" w:type="dxa"/>
          </w:tcPr>
          <w:p w14:paraId="17740C7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5A0E6C5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w:t>
            </w:r>
          </w:p>
        </w:tc>
      </w:tr>
      <w:tr w:rsidR="003D1F45" w:rsidRPr="00101744" w14:paraId="27E71FBE" w14:textId="77777777" w:rsidTr="00B60BB2">
        <w:trPr>
          <w:trHeight w:val="300"/>
        </w:trPr>
        <w:tc>
          <w:tcPr>
            <w:tcW w:w="2269" w:type="dxa"/>
            <w:noWrap/>
            <w:hideMark/>
          </w:tcPr>
          <w:p w14:paraId="68AE7394" w14:textId="09C36F4A"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{"citationItems":[{"id":"ITEM-1","itemData":{"DOI":"10.1016/j.cogbrainres.2004.09.011","ISSN":"09266410","PMID":"15722210","abstract":"Recent functional neuroimaging studies have begun to clarify how the human brain performs the everyday activities that require mental calculation. We used fMRI to test the hypotheses that there are specific neural networks dedicated to performing an arithmetic operation (e.g. + or -) and to performing processes that support more complex calculations. We found that the right inferior parietal lobule, left precuneus and left superior parietal gyrus are relatively specific for performing subtraction; and bilateral medial frontal/cingulate cortex are relatively specific for supporting arithmetic procedure complexity. We also found that greater difficulty level was associated with activation in a brain network including left inferior intraparietal sulcus, left inferior frontal gyrus and bilateral cingulate. Our results suggest that the network activated by the simplest calculation serves as a common basis, to which more regions are recruited for more difficult problems or different arithmetic operations.","author":[{"dropping-particle":"","family":"Kong","given":"Jian","non-dropping-particle":"","parse-names":false,"suffix":""},{"dropping-particle":"","family":"Wang","given":"Chunmao","non-dropping-particle":"","parse-names":false,"suffix":""},{"dropping-particle":"","family":"Kwong","given":"Kenneth","non-dropping-particle":"","parse-names":false,"suffix":""},{"dropping-particle":"","family":"Vangel","given":"Mark","non-dropping-particle":"","parse-names":false,"suffix":""},{"dropping-particle":"","family":"Chua","given":"Elizabeth","non-dropping-particle":"","parse-names":false,"suffix":""},{"dropping-particle":"","family":"Gollub","given":"Randy","non-dropping-particle":"","parse-names":false,"suffix":""}],"container-title":"Cognitive Brain Research","id":"ITEM-1","issue":"3","issued":{"date-parts":[["2005","3"]]},"page":"397-405","title":"The neural substrate of arithmetic operations and procedure complexity","type":"article-journal","volume":"22"},"uris":["http://www.mendeley.com/documents/?uuid=8da01a97-8697-326b-ada6-ecd26ffd0df2"]}],"mendeley":{"formattedCitation":"(Kong et al. 2005)","plainTextFormattedCitation":"(Kong et al. 2005)","previouslyFormattedCitation":"&lt;sup&gt;77&lt;/sup&gt;"},"properties":{"noteIndex":0},"schema":"https://github.com/citation-style-language/schema/raw/master/csl-citation.json"}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(Kong et al. 2005)</w:t>
            </w:r>
            <w:r w:rsidRPr="00101744">
              <w:rPr>
                <w:rFonts w:ascii="Arial" w:eastAsia="Times New Roman" w:hAnsi="Arial" w:cs="Arial"/>
                <w:color w:val="000000"/>
                <w:sz w:val="18"/>
                <w:szCs w:val="18"/>
                <w:lang w:val="en-US" w:eastAsia="pt-PT"/>
              </w:rPr>
              <w:fldChar w:fldCharType="end"/>
            </w:r>
          </w:p>
        </w:tc>
        <w:tc>
          <w:tcPr>
            <w:tcW w:w="709" w:type="dxa"/>
            <w:noWrap/>
            <w:hideMark/>
          </w:tcPr>
          <w:p w14:paraId="0794F59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16</w:t>
            </w:r>
          </w:p>
        </w:tc>
        <w:tc>
          <w:tcPr>
            <w:tcW w:w="709" w:type="dxa"/>
            <w:noWrap/>
            <w:hideMark/>
          </w:tcPr>
          <w:p w14:paraId="789D9EB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571" w:type="dxa"/>
            <w:noWrap/>
            <w:hideMark/>
          </w:tcPr>
          <w:p w14:paraId="51DF4AB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9</w:t>
            </w:r>
          </w:p>
        </w:tc>
        <w:tc>
          <w:tcPr>
            <w:tcW w:w="704" w:type="dxa"/>
            <w:noWrap/>
            <w:hideMark/>
          </w:tcPr>
          <w:p w14:paraId="7E42462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28</w:t>
            </w:r>
          </w:p>
        </w:tc>
        <w:tc>
          <w:tcPr>
            <w:tcW w:w="843" w:type="dxa"/>
            <w:noWrap/>
            <w:hideMark/>
          </w:tcPr>
          <w:p w14:paraId="4F89AFF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25-36</w:t>
            </w:r>
          </w:p>
        </w:tc>
        <w:tc>
          <w:tcPr>
            <w:tcW w:w="2268" w:type="dxa"/>
            <w:gridSpan w:val="2"/>
            <w:noWrap/>
            <w:hideMark/>
          </w:tcPr>
          <w:p w14:paraId="70315FB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 (Addition and subtraction)</w:t>
            </w:r>
          </w:p>
        </w:tc>
        <w:tc>
          <w:tcPr>
            <w:tcW w:w="708" w:type="dxa"/>
            <w:gridSpan w:val="2"/>
            <w:noWrap/>
            <w:hideMark/>
          </w:tcPr>
          <w:p w14:paraId="3132C5E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40</w:t>
            </w:r>
          </w:p>
        </w:tc>
        <w:tc>
          <w:tcPr>
            <w:tcW w:w="1710" w:type="dxa"/>
            <w:gridSpan w:val="2"/>
          </w:tcPr>
          <w:p w14:paraId="03DF0CA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Allegra Siemens</w:t>
            </w:r>
          </w:p>
        </w:tc>
        <w:tc>
          <w:tcPr>
            <w:tcW w:w="1064" w:type="dxa"/>
          </w:tcPr>
          <w:p w14:paraId="1EF5456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SPM99</w:t>
            </w:r>
          </w:p>
        </w:tc>
        <w:tc>
          <w:tcPr>
            <w:tcW w:w="1377" w:type="dxa"/>
          </w:tcPr>
          <w:p w14:paraId="42752982"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&lt;0.001</w:t>
            </w:r>
          </w:p>
        </w:tc>
        <w:tc>
          <w:tcPr>
            <w:tcW w:w="663" w:type="dxa"/>
          </w:tcPr>
          <w:p w14:paraId="23C641E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2500</w:t>
            </w:r>
          </w:p>
        </w:tc>
        <w:tc>
          <w:tcPr>
            <w:tcW w:w="1148" w:type="dxa"/>
          </w:tcPr>
          <w:p w14:paraId="07DC424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3.13</w:t>
            </w:r>
          </w:p>
        </w:tc>
      </w:tr>
      <w:tr w:rsidR="003D1F45" w:rsidRPr="00101744" w14:paraId="0C5B752F" w14:textId="77777777" w:rsidTr="00B60BB2">
        <w:trPr>
          <w:trHeight w:val="300"/>
        </w:trPr>
        <w:tc>
          <w:tcPr>
            <w:tcW w:w="2269" w:type="dxa"/>
            <w:noWrap/>
            <w:hideMark/>
          </w:tcPr>
          <w:p w14:paraId="68B98B38" w14:textId="3FFA6696"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{"citationItems":[{"id":"ITEM-1","itemData":{"DOI":"10.1093/cercor/bhp063","ISBN":"1047-3211","ISSN":"10473211","PMID":"19406903","abstract":"Although the inferior parietal cortex (IPC) has been consistently implicated in mathematical cognition, the functional roles of its subdivisions are poorly understood. We address this problem using probabilistic cytoarchitectonic maps of IPC subdivisions intraparietal sulcus (IPS), angular gyrus (AG), and supramarginal gyrus. We quantified IPC responses relative to task difficulty and individual differences in task proficiency during mental arithmetic (MA) tasks performed with Arabic (MA-A) and Roman (MA-R) numerals. The 2 tasks showed similar levels of activation in 3 distinct IPS areas, hIP1, hIP2, and hIP3, suggesting their obligatory role in MA. Both AG areas, PGa and PGp, were strongly deactivated in both tasks, with stronger deactivations in posterior area PGp. Compared with the more difficult MA-R task, the MA-A task showed greater responses in both AG areas, but this effect was driven by less deactivation in the MA-A task. AG deactivations showed prominent overlap with lateral parietal nodes of the default mode network, suggesting a nonspecific role in MA. In both tasks, greater bilateral AG deactivation was associated with poorer performance. Our findings suggest a close link between IPC structure and function and they provide new evidence for behaviorally salient functional heterogeneity within the IPC during mathematical cognition.","author":[{"dropping-particle":"","family":"Wu","given":"S. S.","non-dropping-particle":"","parse-names":false,"suffix":""},{"dropping-particle":"","family":"Chang","given":"T. T.","non-dropping-particle":"","parse-names":false,"suffix":""},{"dropping-particle":"","family":"Majid","given":"A.","non-dropping-particle":"","parse-names":false,"suffix":""},{"dropping-particle":"","family":"Caspers","given":"S.","non-dropping-particle":"","parse-names":false,"suffix":""},{"dropping-particle":"","family":"Eickhoff","given":"S. B.","non-dropping-particle":"","parse-names":false,"suffix":""},{"dropping-particle":"","family":"Menon","given":"V.","non-dropping-particle":"","parse-names":false,"suffix":""}],"container-title":"Cerebral Cortex","id":"ITEM-1","issue":"12","issued":{"date-parts":[["2009","12","1"]]},"page":"2930-2945","title":"Functional heterogeneity of inferior parietal cortex during mathematical cognition assessed with cytoarchitectonic probability maps","type":"article-journal","volume":"19"},"uris":["http://www.mendeley.com/documents/?uuid=3f01ad2e-4754-494e-8a5a-d7c5088e6b7c"]}],"mendeley":{"formattedCitation":"(Wu et al. 2009)","plainTextFormattedCitation":"(Wu et al. 2009)","previouslyFormattedCitation":"&lt;sup&gt;78&lt;/sup&gt;"},"properties":{"noteIndex":0},"schema":"https://github.com/citation-style-language/schema/raw/master/csl-citation.json"}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(Wu et al. 2009)</w:t>
            </w:r>
            <w:r w:rsidRPr="00101744">
              <w:rPr>
                <w:rFonts w:ascii="Arial" w:eastAsia="Times New Roman" w:hAnsi="Arial" w:cs="Arial"/>
                <w:color w:val="000000"/>
                <w:sz w:val="18"/>
                <w:szCs w:val="18"/>
                <w:lang w:val="en-US" w:eastAsia="pt-PT"/>
              </w:rPr>
              <w:fldChar w:fldCharType="end"/>
            </w:r>
          </w:p>
        </w:tc>
        <w:tc>
          <w:tcPr>
            <w:tcW w:w="709" w:type="dxa"/>
            <w:noWrap/>
            <w:hideMark/>
          </w:tcPr>
          <w:p w14:paraId="311EE35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18</w:t>
            </w:r>
          </w:p>
        </w:tc>
        <w:tc>
          <w:tcPr>
            <w:tcW w:w="709" w:type="dxa"/>
            <w:noWrap/>
            <w:hideMark/>
          </w:tcPr>
          <w:p w14:paraId="0903A3E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571" w:type="dxa"/>
            <w:noWrap/>
            <w:hideMark/>
          </w:tcPr>
          <w:p w14:paraId="6BB4541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11</w:t>
            </w:r>
          </w:p>
        </w:tc>
        <w:tc>
          <w:tcPr>
            <w:tcW w:w="704" w:type="dxa"/>
            <w:noWrap/>
            <w:hideMark/>
          </w:tcPr>
          <w:p w14:paraId="000C1CB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22.3</w:t>
            </w:r>
          </w:p>
        </w:tc>
        <w:tc>
          <w:tcPr>
            <w:tcW w:w="843" w:type="dxa"/>
            <w:noWrap/>
            <w:hideMark/>
          </w:tcPr>
          <w:p w14:paraId="6BB6E1F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18-31.5</w:t>
            </w:r>
          </w:p>
        </w:tc>
        <w:tc>
          <w:tcPr>
            <w:tcW w:w="2268" w:type="dxa"/>
            <w:gridSpan w:val="2"/>
            <w:noWrap/>
            <w:hideMark/>
          </w:tcPr>
          <w:p w14:paraId="620784C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 vs identification</w:t>
            </w:r>
          </w:p>
        </w:tc>
        <w:tc>
          <w:tcPr>
            <w:tcW w:w="708" w:type="dxa"/>
            <w:gridSpan w:val="2"/>
            <w:noWrap/>
            <w:hideMark/>
          </w:tcPr>
          <w:p w14:paraId="557D382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1710" w:type="dxa"/>
            <w:gridSpan w:val="2"/>
          </w:tcPr>
          <w:p w14:paraId="3FDF3D8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3T </w:t>
            </w:r>
            <w:proofErr w:type="spellStart"/>
            <w:r w:rsidRPr="00101744">
              <w:rPr>
                <w:rFonts w:ascii="Arial" w:eastAsia="Times New Roman" w:hAnsi="Arial" w:cs="Arial"/>
                <w:color w:val="000000"/>
                <w:sz w:val="18"/>
                <w:szCs w:val="18"/>
                <w:lang w:val="en-US"/>
              </w:rPr>
              <w:t>Signa</w:t>
            </w:r>
            <w:proofErr w:type="spellEnd"/>
            <w:r w:rsidRPr="00101744">
              <w:rPr>
                <w:rFonts w:ascii="Arial" w:eastAsia="Times New Roman" w:hAnsi="Arial" w:cs="Arial"/>
                <w:color w:val="000000"/>
                <w:sz w:val="18"/>
                <w:szCs w:val="18"/>
                <w:lang w:val="en-US"/>
              </w:rPr>
              <w:t xml:space="preserve"> GE</w:t>
            </w:r>
          </w:p>
        </w:tc>
        <w:tc>
          <w:tcPr>
            <w:tcW w:w="1064" w:type="dxa"/>
          </w:tcPr>
          <w:p w14:paraId="7248415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SPM5</w:t>
            </w:r>
          </w:p>
        </w:tc>
        <w:tc>
          <w:tcPr>
            <w:tcW w:w="1377" w:type="dxa"/>
          </w:tcPr>
          <w:p w14:paraId="58FF12D3"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voxelwise</w:t>
            </w:r>
            <w:proofErr w:type="spellEnd"/>
            <w:r w:rsidRPr="00101744">
              <w:rPr>
                <w:rFonts w:ascii="Arial" w:eastAsia="Times New Roman" w:hAnsi="Arial" w:cs="Arial"/>
                <w:color w:val="000000"/>
                <w:sz w:val="18"/>
                <w:szCs w:val="18"/>
                <w:lang w:val="en-US"/>
              </w:rPr>
              <w:t xml:space="preserve"> </w:t>
            </w:r>
            <w:r w:rsidRPr="00101744">
              <w:rPr>
                <w:rFonts w:ascii="Arial" w:eastAsia="Times New Roman" w:hAnsi="Arial" w:cs="Arial"/>
                <w:color w:val="000000"/>
                <w:sz w:val="18"/>
                <w:szCs w:val="18"/>
                <w:lang w:val="en-US"/>
              </w:rPr>
              <w:br/>
              <w:t>threshold P &lt; 0.01)</w:t>
            </w:r>
          </w:p>
        </w:tc>
        <w:tc>
          <w:tcPr>
            <w:tcW w:w="663" w:type="dxa"/>
          </w:tcPr>
          <w:p w14:paraId="4C82044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32EB6A5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3.125</w:t>
            </w:r>
          </w:p>
        </w:tc>
      </w:tr>
      <w:tr w:rsidR="003D1F45" w:rsidRPr="00101744" w14:paraId="3F259C1D" w14:textId="77777777" w:rsidTr="00B60BB2">
        <w:trPr>
          <w:trHeight w:val="300"/>
        </w:trPr>
        <w:tc>
          <w:tcPr>
            <w:tcW w:w="2269" w:type="dxa"/>
            <w:noWrap/>
            <w:hideMark/>
          </w:tcPr>
          <w:p w14:paraId="2BAB3CEE" w14:textId="7117E582"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{"citationItems":[{"id":"ITEM-1","itemData":{"DOI":"10.1016/j.neuroimage.2008.10.025","ISSN":"10538119","PMID":"19027075","abstract":"Recent imaging studies could show that fact acquisition in arithmetic is associated with decreasing activation in several frontal and parietal areas, and relatively increasing activation within the angular gyrus, indicating a switch from direct calculation to retrieval of a learned fact from memory. So far, however, little is known about the transfer of learned facts between arithmetic operations. The aim of the present fMRI study was to investigate whether and how newly acquired arithmetic knowledge might transfer from trained multiplication problems to related division problems. On the day before scanning, ten complex multiplication problems were trained. Within the scanner, trained multiplication problems were compared with untrained multiplication problems, and division problems related to multiplication (transfer condition) were compared with unrelated division problems (no-transfer condition). Replicating earlier results, untrained multiplication problems activated several frontal and parietal brain areas more strongly than trained multiplication problems, while trained multiplication problems showed relatively stronger activation in the left angular gyrus than untrained multiplication problems. Concerning division, an ROI analysis indicated that activation in the left angular gyrus was relatively stronger for the transfer condition than for the no-transfer condition. We also observed distinct inter-individual differences with regard to transfer that modulated activation within the left angular gyrus. Activation within the left angular gyrus was generally higher for partici</w:instrText>
            </w:r>
            <w:r w:rsidR="00C14016" w:rsidRPr="00C14016">
              <w:rPr>
                <w:rFonts w:ascii="Arial" w:hAnsi="Arial" w:cs="Arial"/>
                <w:color w:val="000000"/>
                <w:sz w:val="18"/>
                <w:szCs w:val="18"/>
                <w:lang w:val="en-GB" w:eastAsia="pt-PT"/>
              </w:rPr>
              <w:instrText>pants who showed a transfer effect for division problems. In conclusion, the present study yielded some evidence that successful transfer of knowledge between arithmetic operations is accompanied by modifications of brain activation patterns. The left angular gyrus seems not only to be involved in the retrieval of stored arithmetic facts, but also in the transfer between arithmetic operations.","author":[{"dropping-particle":"","family":"Ischebeck","given":"Anja","non-dropping-particle":"","parse-names":false,"suffix":""},{"dropping-particle":"","family":"Zamarian","given":"Laura","non-dropping-particle":"","parse-names":false,"suffix":""},{"dropping-particle":"","family":"Schocke","given":"Michael","non-dropping-particle":"","parse-names":false,"suffix":""},{"dropping-particle":"","family":"Delazer","given":"Margarete","non-dropping-particle":"","parse-names":false,"suffix":""}],"container-title":"NeuroImage","id":"ITEM-1","issue":"3","issued":{"date-parts":[["2009","2","1"]]},"page":"1103-1112","title":"Flexible transfer of knowledge in mental arithmetic — An fMRI study","type":"article-journal","volume":"44"},"uris":["http://www.mendeley.com/documents/?uuid=324cf9d2-747e-3377-8602-31543c23ceec"]}],"mendeley":{"formattedCitation":"(Ischebeck et al. 2009)","plainTextFormattedCitation":"(Ischebeck et al. 2009)","previouslyFormattedCitation":"&lt;sup&gt;79&lt;/sup&gt;"},"properties":{"noteIndex":0},"schema":"https://github.com/citation-style-language/schema/raw/master/csl-citation.json"}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(Ischebeck et al. 2009)</w:t>
            </w:r>
            <w:r w:rsidRPr="00101744">
              <w:rPr>
                <w:rFonts w:ascii="Arial" w:eastAsia="Times New Roman" w:hAnsi="Arial" w:cs="Arial"/>
                <w:color w:val="000000"/>
                <w:sz w:val="18"/>
                <w:szCs w:val="18"/>
                <w:lang w:val="en-US" w:eastAsia="pt-PT"/>
              </w:rPr>
              <w:fldChar w:fldCharType="end"/>
            </w:r>
          </w:p>
        </w:tc>
        <w:tc>
          <w:tcPr>
            <w:tcW w:w="709" w:type="dxa"/>
            <w:noWrap/>
            <w:hideMark/>
          </w:tcPr>
          <w:p w14:paraId="634D3A6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17</w:t>
            </w:r>
          </w:p>
        </w:tc>
        <w:tc>
          <w:tcPr>
            <w:tcW w:w="709" w:type="dxa"/>
            <w:noWrap/>
            <w:hideMark/>
          </w:tcPr>
          <w:p w14:paraId="24C7116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571" w:type="dxa"/>
            <w:noWrap/>
            <w:hideMark/>
          </w:tcPr>
          <w:p w14:paraId="03F3AA4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704" w:type="dxa"/>
            <w:noWrap/>
            <w:hideMark/>
          </w:tcPr>
          <w:p w14:paraId="35D779E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w:t>
            </w:r>
          </w:p>
        </w:tc>
        <w:tc>
          <w:tcPr>
            <w:tcW w:w="843" w:type="dxa"/>
            <w:noWrap/>
            <w:hideMark/>
          </w:tcPr>
          <w:p w14:paraId="266C30D1"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1F99879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 (Multiplication)</w:t>
            </w:r>
          </w:p>
        </w:tc>
        <w:tc>
          <w:tcPr>
            <w:tcW w:w="708" w:type="dxa"/>
            <w:gridSpan w:val="2"/>
            <w:noWrap/>
            <w:hideMark/>
          </w:tcPr>
          <w:p w14:paraId="5FF442A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w:t>
            </w:r>
          </w:p>
        </w:tc>
        <w:tc>
          <w:tcPr>
            <w:tcW w:w="1710" w:type="dxa"/>
            <w:gridSpan w:val="2"/>
          </w:tcPr>
          <w:p w14:paraId="38AE492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1.5T Symphony Siemens</w:t>
            </w:r>
          </w:p>
        </w:tc>
        <w:tc>
          <w:tcPr>
            <w:tcW w:w="1064" w:type="dxa"/>
          </w:tcPr>
          <w:p w14:paraId="113A1FE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SPM2</w:t>
            </w:r>
          </w:p>
        </w:tc>
        <w:tc>
          <w:tcPr>
            <w:tcW w:w="1377" w:type="dxa"/>
          </w:tcPr>
          <w:p w14:paraId="7DE60773"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Pcluster</w:t>
            </w:r>
            <w:proofErr w:type="spellEnd"/>
            <w:r w:rsidRPr="00101744">
              <w:rPr>
                <w:rFonts w:ascii="Arial" w:eastAsia="Times New Roman" w:hAnsi="Arial" w:cs="Arial"/>
                <w:color w:val="000000"/>
                <w:sz w:val="18"/>
                <w:szCs w:val="18"/>
                <w:lang w:val="en-US"/>
              </w:rPr>
              <w:t>&lt;0.05</w:t>
            </w:r>
          </w:p>
        </w:tc>
        <w:tc>
          <w:tcPr>
            <w:tcW w:w="663" w:type="dxa"/>
          </w:tcPr>
          <w:p w14:paraId="7CB8CB9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3000</w:t>
            </w:r>
          </w:p>
        </w:tc>
        <w:tc>
          <w:tcPr>
            <w:tcW w:w="1148" w:type="dxa"/>
          </w:tcPr>
          <w:p w14:paraId="586894E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r>
      <w:tr w:rsidR="003D1F45" w:rsidRPr="00101744" w14:paraId="309B7033" w14:textId="77777777" w:rsidTr="00B60BB2">
        <w:trPr>
          <w:trHeight w:val="300"/>
        </w:trPr>
        <w:tc>
          <w:tcPr>
            <w:tcW w:w="2269" w:type="dxa"/>
            <w:noWrap/>
            <w:hideMark/>
          </w:tcPr>
          <w:p w14:paraId="20E2ECD6" w14:textId="495A2F79"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 xml:space="preserve">ADDIN CSL_CITATION {"citationItems":[{"id":"ITEM-1","itemData":{"DOI":"10.1016/j.cortex.2007.08.003","ISBN":"0010-9452 (Print)\\r0010-9452 (Linking)","ISSN":"00109452","PMID":"18387568","abstract":"This functional magnetic resonance imaging (fMRI) study systematically investigates whether there is a neurofunctional overlap of nonsymbolic numerical and spatial cognition in (intra)parietal regions in children and adults. The study also explores the association between finger use and (nonsymbolic) number processing across development. Twenty-four healthy individuals (12 children, 12 adults) were asked to make nonsymbolic numerical and spatial (experimental tasks) as well as color discriminations (control task). Using identical stimulus material across the three tasks disentangled nonsymbolic number representations from general attentional mechanisms, visual-spatial processing and response selection requirements. In both age groups, behavioral distance effects were obtained upon processing numerical (but not spatial and/or color) stimuli. Baseline imaging effects revealed age-dependent, partly overlapping activations of nonsymbolic numerical and spatial processing in the right posterior superior parietal lobe (PSPL) in adults only. Interestingly, regions more activated in children relative to adults were centred on bilateral supramarginal gyrus (SMG) and lateral </w:instrText>
            </w:r>
            <w:r w:rsidR="00C14016">
              <w:rPr>
                <w:rFonts w:ascii="Arial" w:hAnsi="Arial" w:cs="Arial"/>
                <w:color w:val="000000"/>
                <w:sz w:val="18"/>
                <w:szCs w:val="18"/>
                <w:lang w:eastAsia="pt-PT"/>
              </w:rPr>
              <w:instrText>portions of the anterior intraparietal sulcus (IPS), further extending to adjacent right post- and precentral gyrus, the latter of which has been reported to support grasping previously (Simon et al., 2002). Overall, our results are first evidence for an age-dependent neurofunctional link between areas supporting finger use and nonsymbolic number processing and furthermore, might be suggestive of a special role of fingers for the development of number magnitude representations and early arithmetic. ?? 2007 Elsevier M</w:instrText>
            </w:r>
            <w:r w:rsidR="00C14016" w:rsidRPr="00C14016">
              <w:rPr>
                <w:rFonts w:ascii="Arial" w:hAnsi="Arial" w:cs="Arial"/>
                <w:color w:val="000000"/>
                <w:sz w:val="18"/>
                <w:szCs w:val="18"/>
                <w:lang w:val="en-GB" w:eastAsia="pt-PT"/>
              </w:rPr>
              <w:instrText>asson Srl. All rights reserved.","author":[{"dropping-particle":"","family":"Kaufmann","given":"Liane","non-dropping-particle":"","parse-names":false,"suffix":""},{"dropping-particle":"","family":"Vogel","given":"Stephan E.","non-dropping-particle":"","parse-names":false,"suffix":""},{"dropping-particle":"","family":"Wood","given":"Guilherme","non-dropping-particle":"","parse-names":false,"suffix":""},{"dropping-particle":"","family":"Kremser","given":"Christian","non-dropping-particle":"","parse-names":false,"suffix":""},{"dropping-particle":"","family":"Schocke","given":"Michael","non-dropping-particle":"","parse-names":false,"suffix":""},{"dropping-particle":"","family":"Zimmerhackl","given":"Lothar Bernd","non-dropping-particle":"","parse-names":false,"suffix":""},{"dropping-particle":"","family":"Koten","given":"Jan W.","non-dropping-particle":"","parse-names":false,"suffix":""}],"container-title":"Cortex","id":"ITEM-1","issue":"4","issued":{"date-parts":[["2008","4"]]},"page":"376-385","title":"A developmental fMRI study of nonsymbolic numerical and spatial processing","type":"article-journal","volume":"44"},"uris":["http://www.mendeley.com/documents/?uuid=51dac1dd-7121-3c27-908d-73d0907acf68"]}],"mendeley":{"formattedCitation":"(Kaufmann et al. 2008)","plainTextFormattedCitation":"(Kaufmann et al. 2008)","previouslyFormattedCitation":"&lt;sup&gt;80&lt;/sup&gt;"},"properties":{"noteIndex":0},"schema":"https://github.com/citation-style-language/schema/raw/master/csl-citation.json"}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(Kaufmann et al. 2008)</w:t>
            </w:r>
            <w:r w:rsidRPr="00101744">
              <w:rPr>
                <w:rFonts w:ascii="Arial" w:eastAsia="Times New Roman" w:hAnsi="Arial" w:cs="Arial"/>
                <w:color w:val="000000"/>
                <w:sz w:val="18"/>
                <w:szCs w:val="18"/>
                <w:lang w:val="en-US" w:eastAsia="pt-PT"/>
              </w:rPr>
              <w:fldChar w:fldCharType="end"/>
            </w:r>
          </w:p>
        </w:tc>
        <w:tc>
          <w:tcPr>
            <w:tcW w:w="709" w:type="dxa"/>
            <w:noWrap/>
            <w:hideMark/>
          </w:tcPr>
          <w:p w14:paraId="3CA4A19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12</w:t>
            </w:r>
          </w:p>
        </w:tc>
        <w:tc>
          <w:tcPr>
            <w:tcW w:w="709" w:type="dxa"/>
            <w:noWrap/>
            <w:hideMark/>
          </w:tcPr>
          <w:p w14:paraId="12D7DB2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571" w:type="dxa"/>
            <w:noWrap/>
            <w:hideMark/>
          </w:tcPr>
          <w:p w14:paraId="7DFF0A9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704" w:type="dxa"/>
            <w:noWrap/>
            <w:hideMark/>
          </w:tcPr>
          <w:p w14:paraId="3C46D94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33.2</w:t>
            </w:r>
          </w:p>
        </w:tc>
        <w:tc>
          <w:tcPr>
            <w:tcW w:w="843" w:type="dxa"/>
            <w:noWrap/>
            <w:hideMark/>
          </w:tcPr>
          <w:p w14:paraId="050AC4D4"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092D9D6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Arithmetic operations</w:t>
            </w:r>
          </w:p>
        </w:tc>
        <w:tc>
          <w:tcPr>
            <w:tcW w:w="708" w:type="dxa"/>
            <w:gridSpan w:val="2"/>
            <w:noWrap/>
            <w:hideMark/>
          </w:tcPr>
          <w:p w14:paraId="35FD697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w:t>
            </w:r>
          </w:p>
        </w:tc>
        <w:tc>
          <w:tcPr>
            <w:tcW w:w="1710" w:type="dxa"/>
            <w:gridSpan w:val="2"/>
          </w:tcPr>
          <w:p w14:paraId="55C2DDC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1.5T </w:t>
            </w:r>
            <w:proofErr w:type="spellStart"/>
            <w:r w:rsidRPr="00101744">
              <w:rPr>
                <w:rFonts w:ascii="Arial" w:eastAsia="Times New Roman" w:hAnsi="Arial" w:cs="Arial"/>
                <w:color w:val="000000"/>
                <w:sz w:val="18"/>
                <w:szCs w:val="18"/>
                <w:lang w:val="en-US"/>
              </w:rPr>
              <w:t>Magnetom</w:t>
            </w:r>
            <w:proofErr w:type="spellEnd"/>
            <w:r w:rsidRPr="00101744">
              <w:rPr>
                <w:rFonts w:ascii="Arial" w:eastAsia="Times New Roman" w:hAnsi="Arial" w:cs="Arial"/>
                <w:color w:val="000000"/>
                <w:sz w:val="18"/>
                <w:szCs w:val="18"/>
                <w:lang w:val="en-US"/>
              </w:rPr>
              <w:t xml:space="preserve"> Siemens</w:t>
            </w:r>
          </w:p>
        </w:tc>
        <w:tc>
          <w:tcPr>
            <w:tcW w:w="1064" w:type="dxa"/>
          </w:tcPr>
          <w:p w14:paraId="2FC3114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SPM2</w:t>
            </w:r>
          </w:p>
        </w:tc>
        <w:tc>
          <w:tcPr>
            <w:tcW w:w="1377" w:type="dxa"/>
          </w:tcPr>
          <w:p w14:paraId="697BBA65"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&lt;0.001</w:t>
            </w:r>
          </w:p>
        </w:tc>
        <w:tc>
          <w:tcPr>
            <w:tcW w:w="663" w:type="dxa"/>
          </w:tcPr>
          <w:p w14:paraId="4AAAA57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3060</w:t>
            </w:r>
          </w:p>
        </w:tc>
        <w:tc>
          <w:tcPr>
            <w:tcW w:w="1148" w:type="dxa"/>
          </w:tcPr>
          <w:p w14:paraId="0F9A618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3.2</w:t>
            </w:r>
          </w:p>
        </w:tc>
      </w:tr>
      <w:tr w:rsidR="003D1F45" w:rsidRPr="00101744" w14:paraId="16BDE5D3" w14:textId="77777777" w:rsidTr="00B60BB2">
        <w:trPr>
          <w:trHeight w:val="300"/>
        </w:trPr>
        <w:tc>
          <w:tcPr>
            <w:tcW w:w="2269" w:type="dxa"/>
            <w:noWrap/>
            <w:hideMark/>
          </w:tcPr>
          <w:p w14:paraId="562C224D" w14:textId="7D190C70"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{"citationItems":[{"id":"ITEM-1","itemData":{"DOI":"10.1002/hbm.20896","ISSN":"10659471","PMID":"19882648","abstract":"Numerical magnitudes are known to be processed in areas around the intraparietal sulci of the brain. We used an fMRI-adaptation paradigm to investigate how they are actually coded at the neural level. In a number identification task, we manipulated the numerical distance between prime and target numbers (same, close, and far pairs) and their symbolic notation (Arabic and verbal numerals). We show that bilateral parietal activations present a distance-dependent recovery of activation positively correlated with the distance between primes and targets: the larger the prime-target distance, the higher the recovery of activation. Importantly, this effect is only present for trials where an Arabic numeral precedes a verbal numeral and not the reverse. Together, these findings reveal the neural origin of the behavioral priming distance effect and demonstrate that the relative importance of the semantic and nonsemantic pathways in a dual-route model of number processing is modulated by symbolic notation.","author":[{"dropping-particle":"","family":"Notebaert","given":"Karolien","non-dropping-particle":"","parse-names":false,"suffix":""},{"dropping-particle":"","family":"Pesenti","given":"Mauro","non-dropping-particle":"","parse-names":false</w:instrText>
            </w:r>
            <w:r w:rsidR="00C14016">
              <w:rPr>
                <w:rFonts w:ascii="Arial" w:hAnsi="Arial" w:cs="Arial"/>
                <w:color w:val="000000"/>
                <w:sz w:val="18"/>
                <w:szCs w:val="18"/>
                <w:lang w:eastAsia="pt-PT"/>
              </w:rPr>
              <w:instrText>,"suffix":""},{"dropping-particle":"","family":"Reynvoet","given":"Bert","non-dropping-particle":"","parse-names":false,"suffix":""}],"container-title":"Human Brain Mapping","id":"ITEM-1","issue":"5","issued":{"date-parts":[["2009","10","30"]]},"page":"669-677","title":"The neural origin of the priming distance effect: Distance-dependent recovery of parietal activation using symbolic magnitudes","type":"article-journal","volume":"31"},"uris":["http://www.mendeley.com/documents/?uuid=632d133d-c289-3a9a-b2f9-8b34ce1ec77e"]}],"mendeley":{"formattedCitation":"(Notebaert, Pesenti, and Reynvoet 2009)","plainTextFormattedCitation":"(Notebaert, Pesenti, and Reynvoet 2009)","previouslyFormattedCitation":"&lt;sup&gt;81&lt;/sup&gt;"},"properties":{"noteIndex":0},"schema":"https://github.com/citation-style-language/schema/raw/master/csl-citation.json"}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(Notebaert, Pesenti, and Reynvoet 2009)</w:t>
            </w:r>
            <w:r w:rsidRPr="00101744">
              <w:rPr>
                <w:rFonts w:ascii="Arial" w:eastAsia="Times New Roman" w:hAnsi="Arial" w:cs="Arial"/>
                <w:color w:val="000000"/>
                <w:sz w:val="18"/>
                <w:szCs w:val="18"/>
                <w:lang w:val="en-US" w:eastAsia="pt-PT"/>
              </w:rPr>
              <w:fldChar w:fldCharType="end"/>
            </w:r>
          </w:p>
        </w:tc>
        <w:tc>
          <w:tcPr>
            <w:tcW w:w="709" w:type="dxa"/>
            <w:noWrap/>
            <w:hideMark/>
          </w:tcPr>
          <w:p w14:paraId="762CD2A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13</w:t>
            </w:r>
          </w:p>
        </w:tc>
        <w:tc>
          <w:tcPr>
            <w:tcW w:w="709" w:type="dxa"/>
            <w:noWrap/>
            <w:hideMark/>
          </w:tcPr>
          <w:p w14:paraId="3099C24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13</w:t>
            </w:r>
          </w:p>
        </w:tc>
        <w:tc>
          <w:tcPr>
            <w:tcW w:w="571" w:type="dxa"/>
            <w:noWrap/>
            <w:hideMark/>
          </w:tcPr>
          <w:p w14:paraId="15BF22C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0</w:t>
            </w:r>
          </w:p>
        </w:tc>
        <w:tc>
          <w:tcPr>
            <w:tcW w:w="704" w:type="dxa"/>
            <w:noWrap/>
            <w:hideMark/>
          </w:tcPr>
          <w:p w14:paraId="60A68908"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843" w:type="dxa"/>
            <w:noWrap/>
            <w:hideMark/>
          </w:tcPr>
          <w:p w14:paraId="6FE3D61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19-30</w:t>
            </w:r>
          </w:p>
        </w:tc>
        <w:tc>
          <w:tcPr>
            <w:tcW w:w="2268" w:type="dxa"/>
            <w:gridSpan w:val="2"/>
            <w:noWrap/>
            <w:hideMark/>
          </w:tcPr>
          <w:p w14:paraId="1299169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Number identification</w:t>
            </w:r>
          </w:p>
        </w:tc>
        <w:tc>
          <w:tcPr>
            <w:tcW w:w="708" w:type="dxa"/>
            <w:gridSpan w:val="2"/>
            <w:noWrap/>
            <w:hideMark/>
          </w:tcPr>
          <w:p w14:paraId="16033C8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22</w:t>
            </w:r>
          </w:p>
        </w:tc>
        <w:tc>
          <w:tcPr>
            <w:tcW w:w="1710" w:type="dxa"/>
            <w:gridSpan w:val="2"/>
          </w:tcPr>
          <w:p w14:paraId="1534B81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3T </w:t>
            </w:r>
            <w:proofErr w:type="spellStart"/>
            <w:r w:rsidRPr="00101744">
              <w:rPr>
                <w:rFonts w:ascii="Arial" w:eastAsia="Times New Roman" w:hAnsi="Arial" w:cs="Arial"/>
                <w:color w:val="000000"/>
                <w:sz w:val="18"/>
                <w:szCs w:val="18"/>
                <w:lang w:val="en-US"/>
              </w:rPr>
              <w:t>Intera</w:t>
            </w:r>
            <w:proofErr w:type="spellEnd"/>
            <w:r w:rsidRPr="00101744">
              <w:rPr>
                <w:rFonts w:ascii="Arial" w:eastAsia="Times New Roman" w:hAnsi="Arial" w:cs="Arial"/>
                <w:color w:val="000000"/>
                <w:sz w:val="18"/>
                <w:szCs w:val="18"/>
                <w:lang w:val="en-US"/>
              </w:rPr>
              <w:t xml:space="preserve"> Philips</w:t>
            </w:r>
          </w:p>
        </w:tc>
        <w:tc>
          <w:tcPr>
            <w:tcW w:w="1064" w:type="dxa"/>
          </w:tcPr>
          <w:p w14:paraId="2287300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SPM5</w:t>
            </w:r>
          </w:p>
        </w:tc>
        <w:tc>
          <w:tcPr>
            <w:tcW w:w="1377" w:type="dxa"/>
          </w:tcPr>
          <w:p w14:paraId="374A8F67"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Pcorr</w:t>
            </w:r>
            <w:proofErr w:type="spellEnd"/>
            <w:r w:rsidRPr="00101744">
              <w:rPr>
                <w:rFonts w:ascii="Arial" w:eastAsia="Times New Roman" w:hAnsi="Arial" w:cs="Arial"/>
                <w:color w:val="000000"/>
                <w:sz w:val="18"/>
                <w:szCs w:val="18"/>
                <w:lang w:val="en-US"/>
              </w:rPr>
              <w:t>&lt;0.001</w:t>
            </w:r>
          </w:p>
        </w:tc>
        <w:tc>
          <w:tcPr>
            <w:tcW w:w="663" w:type="dxa"/>
          </w:tcPr>
          <w:p w14:paraId="426C3CD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4D67809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2.75</w:t>
            </w:r>
          </w:p>
        </w:tc>
      </w:tr>
      <w:tr w:rsidR="003D1F45" w:rsidRPr="00101744" w14:paraId="78770517" w14:textId="77777777" w:rsidTr="00B60BB2">
        <w:trPr>
          <w:trHeight w:val="300"/>
        </w:trPr>
        <w:tc>
          <w:tcPr>
            <w:tcW w:w="2269" w:type="dxa"/>
            <w:noWrap/>
            <w:hideMark/>
          </w:tcPr>
          <w:p w14:paraId="0E267A84" w14:textId="0D6EFA2A"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{"citationItems":[{"id":"ITEM-1","itemData":{"DOI":"10.1006/nimg.2001.0913","ISSN":"10538119","PMID":"11697933","abstract":"The time to compare two numbers shows additive effects of number notation and of semantic distance, suggesting that the comparison task can be decomposed into distinct stages of identification and semantic processing. Using event-related fMRI and high-density ERPs, we isolated cerebral areas where activation was influenced by input notation (verbal or Arabic notation). The bilateral extrastriate cortices and a left precentral region were more activated during verbal than during Arabic stimulation, while the right fusiform gyrus and a set of bilateral inferoparietal and frontal regions were more activated during Arabic than during verbal stimulation. We also identified areas that were influenced solely by the semantic content of the stimuli (numerical distance between numbers to be compared) independent of the input notation. Activation tightly correlated with numerical distance was observed mainly in a group of parietal areas distributed bilaterally along the intraparietal sulci and in the precuneus, as well as in the left middle temporal gyrus and posterior cingulate. Our results support the assumption of a central semantic representation of numerical quantity that relies on a common parietal network shared among notations.","author":[{"dropping-particle":"","family":"Pinel","given":"Philippe","non-dropping-particle":"","parse-names":false,"suffix":""},{"dropping-particle":"","family":"Dehaene","given":"Stanislas","non-dropping-particle":"","parse-names":false,"suffix":""},{"dropping-particle":"","family":"Rivière","given":"Denis","non-dropping-particle":"","parse-names":false,"suffix":""},{"dropping-particle":"","family":"LeBihan","given":"Denis","non-dropping-particle":"","parse-names":false,"suffix":""}],"container-title":"NeuroImage","id":"ITEM-1","issue":"5","issued":{"date-parts":[["2001","11"]]},"page":"1013-1026","title":"Modulation of Parietal Activation by Semantic Distance in a Number Comparison Task","type":"article-journal","volume":"14"},"uris":["http://www.mendeley.com/documents/?uuid=b638f481-3706-3f4e-b277-793ce4ee1f73"]}],"mendeley":{"formattedCitation":"(Philippe Pinel et al. 2001)","plainTextFormattedCitation":"(Philippe Pinel et al. 2001)","previouslyFormattedCitation":"&lt;sup&gt;82&lt;/sup&gt;"},"properties":{"noteIndex":0},"schema":"https://github.com/citation-style-language/schema/raw/master/csl-citation.json"}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(Philippe Pinel et al. 2001)</w:t>
            </w:r>
            <w:r w:rsidRPr="00101744">
              <w:rPr>
                <w:rFonts w:ascii="Arial" w:eastAsia="Times New Roman" w:hAnsi="Arial" w:cs="Arial"/>
                <w:color w:val="000000"/>
                <w:sz w:val="18"/>
                <w:szCs w:val="18"/>
                <w:lang w:val="en-US" w:eastAsia="pt-PT"/>
              </w:rPr>
              <w:fldChar w:fldCharType="end"/>
            </w:r>
          </w:p>
        </w:tc>
        <w:tc>
          <w:tcPr>
            <w:tcW w:w="709" w:type="dxa"/>
            <w:noWrap/>
            <w:hideMark/>
          </w:tcPr>
          <w:p w14:paraId="7536C98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13</w:t>
            </w:r>
          </w:p>
        </w:tc>
        <w:tc>
          <w:tcPr>
            <w:tcW w:w="709" w:type="dxa"/>
            <w:noWrap/>
            <w:hideMark/>
          </w:tcPr>
          <w:p w14:paraId="51DE4D5B"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571" w:type="dxa"/>
            <w:noWrap/>
            <w:hideMark/>
          </w:tcPr>
          <w:p w14:paraId="584A8C13" w14:textId="77777777" w:rsidR="003D1F45" w:rsidRPr="00101744" w:rsidRDefault="003D1F45" w:rsidP="00B60BB2">
            <w:pPr>
              <w:jc w:val="center"/>
              <w:rPr>
                <w:rFonts w:ascii="Arial" w:eastAsia="Times New Roman" w:hAnsi="Arial" w:cs="Arial"/>
                <w:sz w:val="18"/>
                <w:szCs w:val="18"/>
                <w:lang w:val="en-US" w:eastAsia="pt-PT"/>
              </w:rPr>
            </w:pPr>
          </w:p>
        </w:tc>
        <w:tc>
          <w:tcPr>
            <w:tcW w:w="704" w:type="dxa"/>
            <w:noWrap/>
            <w:hideMark/>
          </w:tcPr>
          <w:p w14:paraId="3EECA3F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w:t>
            </w:r>
          </w:p>
        </w:tc>
        <w:tc>
          <w:tcPr>
            <w:tcW w:w="843" w:type="dxa"/>
            <w:noWrap/>
            <w:hideMark/>
          </w:tcPr>
          <w:p w14:paraId="175A5C19"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008BF51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Number comparison</w:t>
            </w:r>
          </w:p>
        </w:tc>
        <w:tc>
          <w:tcPr>
            <w:tcW w:w="708" w:type="dxa"/>
            <w:gridSpan w:val="2"/>
            <w:noWrap/>
            <w:hideMark/>
          </w:tcPr>
          <w:p w14:paraId="14471EB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16</w:t>
            </w:r>
          </w:p>
        </w:tc>
        <w:tc>
          <w:tcPr>
            <w:tcW w:w="1710" w:type="dxa"/>
            <w:gridSpan w:val="2"/>
          </w:tcPr>
          <w:p w14:paraId="07715F3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Bruker</w:t>
            </w:r>
          </w:p>
        </w:tc>
        <w:tc>
          <w:tcPr>
            <w:tcW w:w="1064" w:type="dxa"/>
          </w:tcPr>
          <w:p w14:paraId="235FA4E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SPM99</w:t>
            </w:r>
          </w:p>
        </w:tc>
        <w:tc>
          <w:tcPr>
            <w:tcW w:w="1377" w:type="dxa"/>
          </w:tcPr>
          <w:p w14:paraId="274700A9"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Pcorr</w:t>
            </w:r>
            <w:proofErr w:type="spellEnd"/>
            <w:r w:rsidRPr="00101744">
              <w:rPr>
                <w:rFonts w:ascii="Arial" w:eastAsia="Times New Roman" w:hAnsi="Arial" w:cs="Arial"/>
                <w:color w:val="000000"/>
                <w:sz w:val="18"/>
                <w:szCs w:val="18"/>
                <w:lang w:val="en-US"/>
              </w:rPr>
              <w:t>&lt;0.05</w:t>
            </w:r>
          </w:p>
        </w:tc>
        <w:tc>
          <w:tcPr>
            <w:tcW w:w="663" w:type="dxa"/>
          </w:tcPr>
          <w:p w14:paraId="69F12C7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6442F9D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r>
      <w:tr w:rsidR="003D1F45" w:rsidRPr="00101744" w14:paraId="77F48505" w14:textId="77777777" w:rsidTr="00B60BB2">
        <w:trPr>
          <w:trHeight w:val="300"/>
        </w:trPr>
        <w:tc>
          <w:tcPr>
            <w:tcW w:w="2269" w:type="dxa"/>
            <w:noWrap/>
            <w:hideMark/>
          </w:tcPr>
          <w:p w14:paraId="090B43B6" w14:textId="09347AB7"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{"citationItems":[{"id":"ITEM-1","itemData":{"DOI":"10.1016/j.neuroimage.2009.07.071","ISSN":"10538119","PMID":"19666127","abstract":"Numbers are everywhere in modern life. Looking out a window, one might see both symbolic numbers, like the numerals on a thermometer, and nonsymbolic quantities, such as the number of chickadees at a bird feeder. Although differences between symbolic and nonsymbolic numbers appear very salient, most research on numerical cognition has focused on similarities rather than differences between numerical stimulus formats. Thus, little is known about differences in the processing of symbolic and nonsymbolic numerical magnitudes. A recent computational model proposed that symbolic and nonsymbolic quantities undergo distinct encoding processes which then converge on a common neural representation of numerical magnitude (Verguts, T., Fias, W., 2004. Representation of number in animals and humans: a neural model. J. Cogn. Neurosci. 16 (9), 1493-1504.). Moreover, this model predicted that discrete brain regions underlie these encoding processes. Using functional magnetic resonance imaging, the present study tested the predictions of this model by examining the functional neuroanatomy of symbolic and nonsymbolic number processing. Nineteen adults compared the relative numerical magnitude of symbolic and nonsymbolic stimuli. An initial conjunction analysis revealed the right inferior parietal lobule to be significantly active in both symbolic and nonsymbolic numerical comparison. A contrast of the activation associated with symbolic and nonsymbolic stimuli revealed that both the left angular a</w:instrText>
            </w:r>
            <w:r w:rsidR="00C14016" w:rsidRPr="00C14016">
              <w:rPr>
                <w:rFonts w:ascii="Arial" w:hAnsi="Arial" w:cs="Arial"/>
                <w:color w:val="000000"/>
                <w:sz w:val="18"/>
                <w:szCs w:val="18"/>
                <w:lang w:val="en-GB" w:eastAsia="pt-PT"/>
              </w:rPr>
              <w:instrText>nd superior temporal gyri were more activated for symbolic compared to nonsymbolic numerical magnitude judgments. The reverse comparison (nonsymbolic&gt;symbolic) revealed several regions including the right posterior superior parietal lobe. These results reveal both format-general and format-specific processing of numerical stimuli in the brain. The potential roles of these regions in symbolic and nonsymbolic numerical processing are discussed.","author":[{"dropping-particle":"","family":"Holloway","given":"Ian D.","non-dropping-particle":"","parse-names":false,"suffix":""},{"dropping-particle":"","family":"Price","given":"Gavin R.","non-dropping-particle":"","parse-names":false,"suffix":""},{"dropping-particle":"","family":"Ansari","given":"Daniel","non-dropping-particle":"","parse-names":false,"suffix":""}],"container-title":"NeuroImage","id":"ITEM-1","issue":"1","issued":{"date-parts":[["2010","1","1"]]},"page":"1006-1017","title":"Common and segregated neural pathways for the processing of symbolic and nonsymbolic numerical magnitude: An fMRI study","type":"article-journal","volume":"49"},"uris":["http://www.mendeley.com/documents/?uuid=c239a487-5084-323c-a633-40b3138641bd"]}],"mendeley":{"formattedCitation":"(Holloway, Price, and Ansari 2010)","plainTextFormattedCitation":"(Holloway, Price, and Ansari 2010)","previouslyFormattedCitation":"&lt;sup&gt;83&lt;/sup&gt;"},"properties":{"noteIndex":0},"schema":"https://github.com/citation-style-language/schema/raw/master/csl-citation.json"}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(Holloway, Price, and Ansari 2010)</w:t>
            </w:r>
            <w:r w:rsidRPr="00101744">
              <w:rPr>
                <w:rFonts w:ascii="Arial" w:eastAsia="Times New Roman" w:hAnsi="Arial" w:cs="Arial"/>
                <w:color w:val="000000"/>
                <w:sz w:val="18"/>
                <w:szCs w:val="18"/>
                <w:lang w:val="en-US" w:eastAsia="pt-PT"/>
              </w:rPr>
              <w:fldChar w:fldCharType="end"/>
            </w:r>
          </w:p>
        </w:tc>
        <w:tc>
          <w:tcPr>
            <w:tcW w:w="709" w:type="dxa"/>
            <w:noWrap/>
            <w:hideMark/>
          </w:tcPr>
          <w:p w14:paraId="1031567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w:t>
            </w:r>
          </w:p>
        </w:tc>
        <w:tc>
          <w:tcPr>
            <w:tcW w:w="709" w:type="dxa"/>
            <w:noWrap/>
            <w:hideMark/>
          </w:tcPr>
          <w:p w14:paraId="4FCDDEC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9</w:t>
            </w:r>
          </w:p>
        </w:tc>
        <w:tc>
          <w:tcPr>
            <w:tcW w:w="571" w:type="dxa"/>
            <w:noWrap/>
            <w:hideMark/>
          </w:tcPr>
          <w:p w14:paraId="27E94FB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704" w:type="dxa"/>
            <w:noWrap/>
            <w:hideMark/>
          </w:tcPr>
          <w:p w14:paraId="3CA2FE6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24</w:t>
            </w:r>
          </w:p>
        </w:tc>
        <w:tc>
          <w:tcPr>
            <w:tcW w:w="843" w:type="dxa"/>
            <w:noWrap/>
            <w:hideMark/>
          </w:tcPr>
          <w:p w14:paraId="5405E19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18-28</w:t>
            </w:r>
          </w:p>
        </w:tc>
        <w:tc>
          <w:tcPr>
            <w:tcW w:w="2268" w:type="dxa"/>
            <w:gridSpan w:val="2"/>
            <w:noWrap/>
            <w:hideMark/>
          </w:tcPr>
          <w:p w14:paraId="00AB946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Arithmetic operations</w:t>
            </w:r>
          </w:p>
        </w:tc>
        <w:tc>
          <w:tcPr>
            <w:tcW w:w="708" w:type="dxa"/>
            <w:gridSpan w:val="2"/>
            <w:noWrap/>
            <w:hideMark/>
          </w:tcPr>
          <w:p w14:paraId="5169F32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w:t>
            </w:r>
          </w:p>
        </w:tc>
        <w:tc>
          <w:tcPr>
            <w:tcW w:w="1710" w:type="dxa"/>
            <w:gridSpan w:val="2"/>
          </w:tcPr>
          <w:p w14:paraId="68A161E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3T </w:t>
            </w:r>
            <w:proofErr w:type="spellStart"/>
            <w:r w:rsidRPr="00101744">
              <w:rPr>
                <w:rFonts w:ascii="Arial" w:eastAsia="Times New Roman" w:hAnsi="Arial" w:cs="Arial"/>
                <w:color w:val="000000"/>
                <w:sz w:val="18"/>
                <w:szCs w:val="18"/>
                <w:lang w:val="en-US"/>
              </w:rPr>
              <w:t>Intera</w:t>
            </w:r>
            <w:proofErr w:type="spellEnd"/>
            <w:r w:rsidRPr="00101744">
              <w:rPr>
                <w:rFonts w:ascii="Arial" w:eastAsia="Times New Roman" w:hAnsi="Arial" w:cs="Arial"/>
                <w:color w:val="000000"/>
                <w:sz w:val="18"/>
                <w:szCs w:val="18"/>
                <w:lang w:val="en-US"/>
              </w:rPr>
              <w:t xml:space="preserve"> Philips</w:t>
            </w:r>
          </w:p>
        </w:tc>
        <w:tc>
          <w:tcPr>
            <w:tcW w:w="1064" w:type="dxa"/>
          </w:tcPr>
          <w:p w14:paraId="1234C3B7"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Brainvoyager</w:t>
            </w:r>
            <w:proofErr w:type="spellEnd"/>
            <w:r w:rsidRPr="00101744">
              <w:rPr>
                <w:rFonts w:ascii="Arial" w:eastAsia="Times New Roman" w:hAnsi="Arial" w:cs="Arial"/>
                <w:color w:val="000000"/>
                <w:sz w:val="18"/>
                <w:szCs w:val="18"/>
                <w:lang w:val="en-US"/>
              </w:rPr>
              <w:t xml:space="preserve"> QX 2.0.7</w:t>
            </w:r>
          </w:p>
        </w:tc>
        <w:tc>
          <w:tcPr>
            <w:tcW w:w="1377" w:type="dxa"/>
          </w:tcPr>
          <w:p w14:paraId="0D450831"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&lt;0.005</w:t>
            </w:r>
          </w:p>
        </w:tc>
        <w:tc>
          <w:tcPr>
            <w:tcW w:w="663" w:type="dxa"/>
          </w:tcPr>
          <w:p w14:paraId="2C5808E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3000</w:t>
            </w:r>
          </w:p>
        </w:tc>
        <w:tc>
          <w:tcPr>
            <w:tcW w:w="1148" w:type="dxa"/>
          </w:tcPr>
          <w:p w14:paraId="485B7717" w14:textId="77777777" w:rsidR="003D1F45" w:rsidRPr="00101744" w:rsidRDefault="003D1F45" w:rsidP="00B60BB2">
            <w:pPr>
              <w:jc w:val="center"/>
              <w:rPr>
                <w:rFonts w:ascii="Arial" w:eastAsia="Times New Roman" w:hAnsi="Arial" w:cs="Arial"/>
                <w:color w:val="000000"/>
                <w:sz w:val="18"/>
                <w:szCs w:val="18"/>
                <w:lang w:val="en-US" w:eastAsia="pt-PT"/>
              </w:rPr>
            </w:pPr>
          </w:p>
        </w:tc>
      </w:tr>
      <w:tr w:rsidR="003D1F45" w:rsidRPr="00101744" w14:paraId="63A6D05D" w14:textId="77777777" w:rsidTr="00B60BB2">
        <w:trPr>
          <w:trHeight w:val="300"/>
        </w:trPr>
        <w:tc>
          <w:tcPr>
            <w:tcW w:w="2269" w:type="dxa"/>
            <w:noWrap/>
            <w:hideMark/>
          </w:tcPr>
          <w:p w14:paraId="7A9FFE95" w14:textId="6A4C9CA0"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{"citationItems":[{"id":"ITEM-1","itemData":{"DOI":"10.1006/nimg.2000.0627","ISSN":"10538119","PMID":"10988032","abstract":"Some models of word comprehension postulate that the processing of words presented in different modalities and languages ultimately converges toward common cerebral systems associated with semantic-level processing and that the localization of these systems may vary with the category of semantic knowledge being accessed. We used functional magnetic resonance imaging to investigate this hypothesis with two categories of words, numerals, and body parts, for which the existence of distinct category-specific areas is debated in neuropsychology. Across two experiments, one with a blocked design and the other with an event-related design, a reproducible set of left-hemispheric parietal and prefrontal areas showed greater activation during the manipulation of topographical knowledge about body parts and a right-hemispheric parietal network during the manipulation of numerical quantities. These results complement the existing neuropsychological and brain-imaging literature by suggesting that within the extensive network of bilateral parietal regions active during both number and body-part processing, a subset shows category-specific responses independent of the language and modality of presentation.","author"</w:instrText>
            </w:r>
            <w:r w:rsidR="00C14016">
              <w:rPr>
                <w:rFonts w:ascii="Arial" w:hAnsi="Arial" w:cs="Arial"/>
                <w:color w:val="000000"/>
                <w:sz w:val="18"/>
                <w:szCs w:val="18"/>
                <w:lang w:eastAsia="pt-PT"/>
              </w:rPr>
              <w:instrText>:[{"dropping-particle":"","family":"Clec'H","given":"G.","non-dropping-particle":"Le","parse-names":false,"suffix":""},{"dropping-particle":"","family":"Dehaene","given":"S.","non-dropping-par</w:instrText>
            </w:r>
            <w:r w:rsidR="00C14016" w:rsidRPr="00C14016">
              <w:rPr>
                <w:rFonts w:ascii="Arial" w:hAnsi="Arial" w:cs="Arial"/>
                <w:color w:val="000000"/>
                <w:sz w:val="18"/>
                <w:szCs w:val="18"/>
                <w:lang w:val="en-GB" w:eastAsia="pt-PT"/>
              </w:rPr>
              <w:instrText>ticle":"","parse-names":false,"suffix":""},{"dropping-particle":"","family":"Cohen","given":"L.","non-dropping-particle":"","parse-names":false,"suffix":""},{"dropping-particle":"","family":"Mehler","given":"J.","non-dropping-particle":"","parse-names":false,"suffix":""},{"dropping-particle":"","family":"Dupoux","given":"E.","non-dropping-particle":"","parse-names":false,"suffix":""},{"dropping-particle":"","family":"Poline","given":"J.B.","non-dropping-particle":"","parse-names":false,"suffix":""},{"dropping-particle":"","family":"Lehéricy","given":"S.","non-dropping-particle":"","parse-names":false,"suffix":""},{"dropping-particle":"","family":"Moortele","given":"P.F.","non-dropping-particle":"van de","parse-names":false,"suffix":""},{"dropping-particle":"","family":"Bihan","given":"D.","non-dropping-particle":"Le","parse-names":false,"suffix":""}],"container-title":"NeuroImage","id":"ITEM-1","issue":"4","issued":{"date-parts":[["2000","10"]]},"page":"381-391","title":"Distinct Cortical Areas for Names of Numbers and Body Parts Independent of Language and Input Modality","type":"article-journal","volume":"12"},"uris":["http://www.mendeley.com/documents/?uuid=69f05354-868d-3586-9a8a-4c0a6e2a03db"]}],"mendeley":{"formattedCitation":"(Le Clec’H et al. 2000)","plainTextFormattedCitation":"(Le Clec’H et al. 2000)","previouslyFormattedCitation":"&lt;sup&gt;84&lt;/sup&gt;"},"properties":{"noteIndex":0},"schema":"https://github.com/citation-style-language/schema/raw/master/csl-citation.json"}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(Le Clec’H et al. 2000)</w:t>
            </w:r>
            <w:r w:rsidRPr="00101744">
              <w:rPr>
                <w:rFonts w:ascii="Arial" w:eastAsia="Times New Roman" w:hAnsi="Arial" w:cs="Arial"/>
                <w:color w:val="000000"/>
                <w:sz w:val="18"/>
                <w:szCs w:val="18"/>
                <w:lang w:val="en-US" w:eastAsia="pt-PT"/>
              </w:rPr>
              <w:fldChar w:fldCharType="end"/>
            </w:r>
          </w:p>
        </w:tc>
        <w:tc>
          <w:tcPr>
            <w:tcW w:w="709" w:type="dxa"/>
            <w:noWrap/>
            <w:hideMark/>
          </w:tcPr>
          <w:p w14:paraId="66F69E6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11</w:t>
            </w:r>
          </w:p>
        </w:tc>
        <w:tc>
          <w:tcPr>
            <w:tcW w:w="709" w:type="dxa"/>
            <w:noWrap/>
            <w:hideMark/>
          </w:tcPr>
          <w:p w14:paraId="1E26B9A5"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571" w:type="dxa"/>
            <w:noWrap/>
            <w:hideMark/>
          </w:tcPr>
          <w:p w14:paraId="4EACB094" w14:textId="77777777" w:rsidR="003D1F45" w:rsidRPr="00101744" w:rsidRDefault="003D1F45" w:rsidP="00B60BB2">
            <w:pPr>
              <w:jc w:val="center"/>
              <w:rPr>
                <w:rFonts w:ascii="Arial" w:eastAsia="Times New Roman" w:hAnsi="Arial" w:cs="Arial"/>
                <w:sz w:val="18"/>
                <w:szCs w:val="18"/>
                <w:lang w:val="en-US" w:eastAsia="pt-PT"/>
              </w:rPr>
            </w:pPr>
          </w:p>
        </w:tc>
        <w:tc>
          <w:tcPr>
            <w:tcW w:w="704" w:type="dxa"/>
            <w:noWrap/>
            <w:hideMark/>
          </w:tcPr>
          <w:p w14:paraId="51FEFC19" w14:textId="77777777" w:rsidR="003D1F45" w:rsidRPr="00101744" w:rsidRDefault="003D1F45" w:rsidP="00B60BB2">
            <w:pPr>
              <w:jc w:val="center"/>
              <w:rPr>
                <w:rFonts w:ascii="Arial" w:eastAsia="Times New Roman" w:hAnsi="Arial" w:cs="Arial"/>
                <w:sz w:val="18"/>
                <w:szCs w:val="18"/>
                <w:lang w:val="en-US" w:eastAsia="pt-PT"/>
              </w:rPr>
            </w:pPr>
          </w:p>
        </w:tc>
        <w:tc>
          <w:tcPr>
            <w:tcW w:w="843" w:type="dxa"/>
            <w:noWrap/>
            <w:hideMark/>
          </w:tcPr>
          <w:p w14:paraId="3E1A3F3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23-37</w:t>
            </w:r>
          </w:p>
        </w:tc>
        <w:tc>
          <w:tcPr>
            <w:tcW w:w="2268" w:type="dxa"/>
            <w:gridSpan w:val="2"/>
            <w:noWrap/>
            <w:hideMark/>
          </w:tcPr>
          <w:p w14:paraId="0FF8360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Number comparison</w:t>
            </w:r>
          </w:p>
        </w:tc>
        <w:tc>
          <w:tcPr>
            <w:tcW w:w="708" w:type="dxa"/>
            <w:gridSpan w:val="2"/>
            <w:noWrap/>
            <w:hideMark/>
          </w:tcPr>
          <w:p w14:paraId="403CF5C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1710" w:type="dxa"/>
            <w:gridSpan w:val="2"/>
          </w:tcPr>
          <w:p w14:paraId="7DAE4B6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Bruker</w:t>
            </w:r>
          </w:p>
        </w:tc>
        <w:tc>
          <w:tcPr>
            <w:tcW w:w="1064" w:type="dxa"/>
          </w:tcPr>
          <w:p w14:paraId="228EB1E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SPM96</w:t>
            </w:r>
          </w:p>
        </w:tc>
        <w:tc>
          <w:tcPr>
            <w:tcW w:w="1377" w:type="dxa"/>
          </w:tcPr>
          <w:p w14:paraId="574B2FCC"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voxelwise</w:t>
            </w:r>
            <w:proofErr w:type="spellEnd"/>
            <w:r w:rsidRPr="00101744">
              <w:rPr>
                <w:rFonts w:ascii="Arial" w:eastAsia="Times New Roman" w:hAnsi="Arial" w:cs="Arial"/>
                <w:color w:val="000000"/>
                <w:sz w:val="18"/>
                <w:szCs w:val="18"/>
                <w:lang w:val="en-US"/>
              </w:rPr>
              <w:t xml:space="preserve"> P&lt;0.001</w:t>
            </w:r>
          </w:p>
        </w:tc>
        <w:tc>
          <w:tcPr>
            <w:tcW w:w="663" w:type="dxa"/>
          </w:tcPr>
          <w:p w14:paraId="7A75993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0C84F48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w:t>
            </w:r>
          </w:p>
        </w:tc>
      </w:tr>
      <w:tr w:rsidR="003D1F45" w:rsidRPr="00101744" w14:paraId="04CA39AF" w14:textId="77777777" w:rsidTr="00B60BB2">
        <w:trPr>
          <w:trHeight w:val="300"/>
        </w:trPr>
        <w:tc>
          <w:tcPr>
            <w:tcW w:w="2269" w:type="dxa"/>
            <w:noWrap/>
            <w:hideMark/>
          </w:tcPr>
          <w:p w14:paraId="11946564" w14:textId="08D3F0A5"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{"citationItems":[{"id":"ITEM-1","itemData":{"DOI":"10.1111/j.1460-2466.2012.01649.x","ISBN":"1460-2466","ISSN":"00219916","PMID":"11832233","abstract":"This study attempted to (a) extend traditional mood management theory research by investigating the influence of the intrinsic needs for competence and autonomy on selective exposure to video games and (b) test the influence of satisfying these needs on resultant mood repair. An experiment varied satisfaction of competence and autonomy needs using false feedback. Subjects then selected media that varied in level of user demand. Measures of need satisfaction were taken before and after media selection. Results demonstrated that (a) thwarted intrinsic needs significantly predict the choice of video games with different levels of user demand and (b) the satisfaction of these needs predicts enjoyment. Findings indicate that mood management can result frommood repair through need satisfaction.","author":[{"dropping-particle":"","family":"Reinecke","given":"Leonard","non-dropping-particle":"","parse-names":false,"suffix":""},{"dropping-particle":"","family":"Tamborini","given":"Ron","non-dropping-particle":"","parse-names":false,"suffix":""},{"dropping-particle":"","family":"Grizzard","given":"Matthew","non-dropping-particle":"","parse-names":false,"suffix":""},{"dropping-particle":"","family":"Lewis","given":"Robe</w:instrText>
            </w:r>
            <w:r w:rsidR="00C14016">
              <w:rPr>
                <w:rFonts w:ascii="Arial" w:hAnsi="Arial" w:cs="Arial"/>
                <w:color w:val="000000"/>
                <w:sz w:val="18"/>
                <w:szCs w:val="18"/>
                <w:lang w:eastAsia="pt-PT"/>
              </w:rPr>
              <w:instrText>rt","non-dropping-particle":"","parse-names":false,"suffix":""},{"dropping-particle":"","family":"Eden","given":"Allison","non-dropping-particle":"","parse-names":false,"suffix":""},{"dropping-particle":"","family":"David Bowman","given":"Nicholas","non-dropping-particle":"","parse-names":false,"suffix":""}],"container-title":"Journal of Communication","id":"ITEM-1","issue":"3","issued":{"date-parts":[["2012","1","31"]]},"page":"437-453","title":"Characterizing Mood Management as Need Satisfaction: The Effects of Intrinsic Needs on Selective Exposure and Mood Repair","type":"article-journal","volume":"62"},"uris":["http://www.mendeley.com/documents/?uuid=cf1a449a-f861-31af-a82a-34429cf8245e"]}],"mendeley":{"formattedCitation":"(Reinecke et al. 2012)","plainTextFormattedCitation":"(Reinecke et al. 2012)","previouslyFormattedCitation":"&lt;sup&gt;85&lt;/sup&gt;"},"properties":{"noteIndex":0},"schema":"https://github.com/citation-style-language/schema/raw/master/csl-citation.json"}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(Reinecke et al. 2012)</w:t>
            </w:r>
            <w:r w:rsidRPr="00101744">
              <w:rPr>
                <w:rFonts w:ascii="Arial" w:eastAsia="Times New Roman" w:hAnsi="Arial" w:cs="Arial"/>
                <w:color w:val="000000"/>
                <w:sz w:val="18"/>
                <w:szCs w:val="18"/>
                <w:lang w:val="en-US" w:eastAsia="pt-PT"/>
              </w:rPr>
              <w:fldChar w:fldCharType="end"/>
            </w:r>
          </w:p>
        </w:tc>
        <w:tc>
          <w:tcPr>
            <w:tcW w:w="709" w:type="dxa"/>
            <w:noWrap/>
            <w:hideMark/>
          </w:tcPr>
          <w:p w14:paraId="05026C7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709" w:type="dxa"/>
            <w:noWrap/>
            <w:hideMark/>
          </w:tcPr>
          <w:p w14:paraId="4908FC5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c>
          <w:tcPr>
            <w:tcW w:w="571" w:type="dxa"/>
            <w:noWrap/>
            <w:hideMark/>
          </w:tcPr>
          <w:p w14:paraId="78C52B8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704" w:type="dxa"/>
            <w:noWrap/>
            <w:hideMark/>
          </w:tcPr>
          <w:p w14:paraId="3F24EF4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w:t>
            </w:r>
          </w:p>
        </w:tc>
        <w:tc>
          <w:tcPr>
            <w:tcW w:w="843" w:type="dxa"/>
            <w:noWrap/>
            <w:hideMark/>
          </w:tcPr>
          <w:p w14:paraId="06FB767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22-34</w:t>
            </w:r>
          </w:p>
        </w:tc>
        <w:tc>
          <w:tcPr>
            <w:tcW w:w="2268" w:type="dxa"/>
            <w:gridSpan w:val="2"/>
            <w:noWrap/>
            <w:hideMark/>
          </w:tcPr>
          <w:p w14:paraId="77FBA11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 (subtraction)</w:t>
            </w:r>
          </w:p>
        </w:tc>
        <w:tc>
          <w:tcPr>
            <w:tcW w:w="708" w:type="dxa"/>
            <w:gridSpan w:val="2"/>
            <w:noWrap/>
            <w:hideMark/>
          </w:tcPr>
          <w:p w14:paraId="0B60F47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24</w:t>
            </w:r>
          </w:p>
        </w:tc>
        <w:tc>
          <w:tcPr>
            <w:tcW w:w="1710" w:type="dxa"/>
            <w:gridSpan w:val="2"/>
          </w:tcPr>
          <w:p w14:paraId="218F106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1.5T </w:t>
            </w:r>
            <w:proofErr w:type="spellStart"/>
            <w:r w:rsidRPr="00101744">
              <w:rPr>
                <w:rFonts w:ascii="Arial" w:eastAsia="Times New Roman" w:hAnsi="Arial" w:cs="Arial"/>
                <w:color w:val="000000"/>
                <w:sz w:val="18"/>
                <w:szCs w:val="18"/>
                <w:lang w:val="en-US"/>
              </w:rPr>
              <w:t>Signa</w:t>
            </w:r>
            <w:proofErr w:type="spellEnd"/>
            <w:r w:rsidRPr="00101744">
              <w:rPr>
                <w:rFonts w:ascii="Arial" w:eastAsia="Times New Roman" w:hAnsi="Arial" w:cs="Arial"/>
                <w:color w:val="000000"/>
                <w:sz w:val="18"/>
                <w:szCs w:val="18"/>
                <w:lang w:val="en-US"/>
              </w:rPr>
              <w:t xml:space="preserve"> Siemens</w:t>
            </w:r>
          </w:p>
        </w:tc>
        <w:tc>
          <w:tcPr>
            <w:tcW w:w="1064" w:type="dxa"/>
          </w:tcPr>
          <w:p w14:paraId="08745E5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SPM99</w:t>
            </w:r>
          </w:p>
        </w:tc>
        <w:tc>
          <w:tcPr>
            <w:tcW w:w="1377" w:type="dxa"/>
          </w:tcPr>
          <w:p w14:paraId="7352ED50"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voxelwise</w:t>
            </w:r>
            <w:proofErr w:type="spellEnd"/>
            <w:r w:rsidRPr="00101744">
              <w:rPr>
                <w:rFonts w:ascii="Arial" w:eastAsia="Times New Roman" w:hAnsi="Arial" w:cs="Arial"/>
                <w:color w:val="000000"/>
                <w:sz w:val="18"/>
                <w:szCs w:val="18"/>
                <w:lang w:val="en-US"/>
              </w:rPr>
              <w:t xml:space="preserve"> P&lt;0.01</w:t>
            </w:r>
          </w:p>
        </w:tc>
        <w:tc>
          <w:tcPr>
            <w:tcW w:w="663" w:type="dxa"/>
          </w:tcPr>
          <w:p w14:paraId="4F67167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40D6A02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3.75</w:t>
            </w:r>
          </w:p>
        </w:tc>
      </w:tr>
      <w:tr w:rsidR="003D1F45" w:rsidRPr="00101744" w14:paraId="73F474F1" w14:textId="77777777" w:rsidTr="00B60BB2">
        <w:trPr>
          <w:trHeight w:val="300"/>
        </w:trPr>
        <w:tc>
          <w:tcPr>
            <w:tcW w:w="2269" w:type="dxa"/>
            <w:noWrap/>
            <w:hideMark/>
          </w:tcPr>
          <w:p w14:paraId="5D138F51" w14:textId="26CE0E1D"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{"citationItems":[{"id":"ITEM-1","itemData":{"ISSN":"0898-929X","PMID":"10601743","abstract":"We measured cerebral activation with functional magnetic resonance imaging at 3 Tesla while eight healthy volunteers performed various number processing tasks known to be dissociable in brain-lesioned patients: naming, comparing, multiplying, or subtracting single digits. The results revealed the activation of a circuit comprising bilateral intraparietal, prefrontal, and anterior cingulate components. The extension and lateralization of this circuit was modulated by task demands. The intraparietal and prefrontal activation was more important in the right hemisphere during the comparison task and in the left hemisphere during the multiplication task and was intensely bilateral during the subtraction task. Thus, partially distinct cerebral circuits with the dorsal parietal pathway underlie distinct arithmetic operations.","author":[{"dropping-particle":"","family":"Chochon","given":"F","non-dropping-particle":"","parse-names":false,"suffix":""},{"dropping-particle":"","family":"Cohen","given":"L","non-dropping-particle":"","parse-names":false,"suffix":""},{"dropping-particle":"","family":"Moortele","given":"P F","non-dropping-particle":"van de","parse-names":false,"suffix":""},{"dropping-particle":"","family":"Dehaene","given":"S","non-dropping-particle":"","parse-names":false,"suffix":""}],"container-title":"Journal of cognitive neuroscience","id":"ITEM-1","issue":"6","issued":{"date-parts":[["1999","11"]]},"page":"617-30","title":"Differential contributions of the left and right inferior parietal lobules to number processing.","type":"article-journal","volume":"11"},"uris":["http://www.mendeley.com/documents/?uuid=a4bfef1b-d9d9-3a83-9ce4-aebca0dd9fd6"]}],"mendeley":{"formattedCitation":"(Chochon et al. 1999)","plainTextFormattedCitation":"(Chochon et al. 1999)","previouslyFormattedCitation":"&lt;sup&gt;86&lt;/sup&gt;"},"properties":{"noteIndex":0},"schema":"https://github.com/citation-style-language/schema/raw/master/csl-citation.json"}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(Chochon et al. 1999)</w:t>
            </w:r>
            <w:r w:rsidRPr="00101744">
              <w:rPr>
                <w:rFonts w:ascii="Arial" w:eastAsia="Times New Roman" w:hAnsi="Arial" w:cs="Arial"/>
                <w:color w:val="000000"/>
                <w:sz w:val="18"/>
                <w:szCs w:val="18"/>
                <w:lang w:val="en-US" w:eastAsia="pt-PT"/>
              </w:rPr>
              <w:fldChar w:fldCharType="end"/>
            </w:r>
          </w:p>
        </w:tc>
        <w:tc>
          <w:tcPr>
            <w:tcW w:w="709" w:type="dxa"/>
            <w:noWrap/>
            <w:hideMark/>
          </w:tcPr>
          <w:p w14:paraId="526DFEB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709" w:type="dxa"/>
            <w:noWrap/>
            <w:hideMark/>
          </w:tcPr>
          <w:p w14:paraId="60D1F96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w:t>
            </w:r>
          </w:p>
        </w:tc>
        <w:tc>
          <w:tcPr>
            <w:tcW w:w="571" w:type="dxa"/>
            <w:noWrap/>
            <w:hideMark/>
          </w:tcPr>
          <w:p w14:paraId="725A3B2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w:t>
            </w:r>
          </w:p>
        </w:tc>
        <w:tc>
          <w:tcPr>
            <w:tcW w:w="704" w:type="dxa"/>
            <w:noWrap/>
            <w:hideMark/>
          </w:tcPr>
          <w:p w14:paraId="0A9C841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w:t>
            </w:r>
          </w:p>
        </w:tc>
        <w:tc>
          <w:tcPr>
            <w:tcW w:w="843" w:type="dxa"/>
            <w:noWrap/>
            <w:hideMark/>
          </w:tcPr>
          <w:p w14:paraId="3183308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20-30</w:t>
            </w:r>
          </w:p>
        </w:tc>
        <w:tc>
          <w:tcPr>
            <w:tcW w:w="2268" w:type="dxa"/>
            <w:gridSpan w:val="2"/>
            <w:noWrap/>
            <w:hideMark/>
          </w:tcPr>
          <w:p w14:paraId="10E8A4C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 and number comparison</w:t>
            </w:r>
          </w:p>
        </w:tc>
        <w:tc>
          <w:tcPr>
            <w:tcW w:w="708" w:type="dxa"/>
            <w:gridSpan w:val="2"/>
            <w:noWrap/>
            <w:hideMark/>
          </w:tcPr>
          <w:p w14:paraId="4806069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56</w:t>
            </w:r>
          </w:p>
        </w:tc>
        <w:tc>
          <w:tcPr>
            <w:tcW w:w="1710" w:type="dxa"/>
            <w:gridSpan w:val="2"/>
          </w:tcPr>
          <w:p w14:paraId="2A378D5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Bruker</w:t>
            </w:r>
          </w:p>
        </w:tc>
        <w:tc>
          <w:tcPr>
            <w:tcW w:w="1064" w:type="dxa"/>
          </w:tcPr>
          <w:p w14:paraId="3036558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SPM96</w:t>
            </w:r>
          </w:p>
        </w:tc>
        <w:tc>
          <w:tcPr>
            <w:tcW w:w="1377" w:type="dxa"/>
          </w:tcPr>
          <w:p w14:paraId="2F7C708A"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Pcorr</w:t>
            </w:r>
            <w:proofErr w:type="spellEnd"/>
            <w:r w:rsidRPr="00101744">
              <w:rPr>
                <w:rFonts w:ascii="Arial" w:eastAsia="Times New Roman" w:hAnsi="Arial" w:cs="Arial"/>
                <w:color w:val="000000"/>
                <w:sz w:val="18"/>
                <w:szCs w:val="18"/>
                <w:lang w:val="en-US"/>
              </w:rPr>
              <w:t>&lt;0.05</w:t>
            </w:r>
          </w:p>
        </w:tc>
        <w:tc>
          <w:tcPr>
            <w:tcW w:w="663" w:type="dxa"/>
          </w:tcPr>
          <w:p w14:paraId="53F63D1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6000</w:t>
            </w:r>
          </w:p>
        </w:tc>
        <w:tc>
          <w:tcPr>
            <w:tcW w:w="1148" w:type="dxa"/>
          </w:tcPr>
          <w:p w14:paraId="2891945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w:t>
            </w:r>
          </w:p>
        </w:tc>
      </w:tr>
      <w:tr w:rsidR="003D1F45" w:rsidRPr="00101744" w14:paraId="0BF3D568" w14:textId="77777777" w:rsidTr="00B60BB2">
        <w:trPr>
          <w:trHeight w:val="300"/>
        </w:trPr>
        <w:tc>
          <w:tcPr>
            <w:tcW w:w="2269" w:type="dxa"/>
            <w:noWrap/>
            <w:hideMark/>
          </w:tcPr>
          <w:p w14:paraId="04372941" w14:textId="2E34FF58"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{"citationItems":[{"id":"ITEM-1","itemData":{"ISSN":"0036-8075","PMID":"10320379","abstract":"Does the human capacity for mathematical intuition depend on linguistic competence or on visuo-spatial representations? A series of behavioral and brain-imaging experiments provides evidence for both sources. Exact arithmetic is acquired in a language-specific format, transfers poorly to a different language or to novel facts, and recruits networks involved in word-association processes. In contrast, approximate arithmetic shows language independence, relies on a sense of numerical magnitudes, and recruits bilateral areas of the parietal lobes involved in visuo-spatial processing. Mathematical intuition may emerge from the interplay of these brain systems.","author":[{"dropping-particle":"","family":"Dehaene","given":"S","non-dropping-particle":"","parse-names":false,"suffix":""},{"dropping-particle":"","family":"Spelke","given":"E","non-dropping-particle":"","parse-names":false,"suffix":""},{"dropping-particle":"","family":"Pinel","given":"P","non-dropping-particle":"","parse-names":false,"suffix":""},{"dropping-particle":"","family":"Stanescu","given":"R","non-dropping-particle":"","parse-names":false,"suffix":""},{"dropping-particle":"","family":"Tsivkin","given":"S","non-dropping-particle":"","parse-names":false,"suffix":""}],"container-title":"Science (New York, N.Y.)","id":"ITEM-1","issue":"5416","issued":{"date-parts":[["1999","5","7"]]},"page":"970-4","title":"Sources of mathematical thinking: behavioral and brain-imaging evidence.","type":"article-journal","volume":"284"},"uris":["http://www.mendeley.com/documents/?uuid=226a5c50-930e-384d-b21e-59c368fbb6aa"]}],"mendeley":{"formattedCitation":"(S Dehaene et al. 1999)","plainTextFormattedCitation":"(S Dehaene et al. 1999)","previouslyFormattedCitation":"&lt;sup&gt;87&lt;/sup&gt;"},"properties":{"noteIndex":0},"schema":"https://github.com/citation-style-language/schema/raw/master/csl-citation.json"}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(S Dehaene et al. 1999)</w:t>
            </w:r>
            <w:r w:rsidRPr="00101744">
              <w:rPr>
                <w:rFonts w:ascii="Arial" w:eastAsia="Times New Roman" w:hAnsi="Arial" w:cs="Arial"/>
                <w:color w:val="000000"/>
                <w:sz w:val="18"/>
                <w:szCs w:val="18"/>
                <w:lang w:val="en-US" w:eastAsia="pt-PT"/>
              </w:rPr>
              <w:fldChar w:fldCharType="end"/>
            </w:r>
          </w:p>
        </w:tc>
        <w:tc>
          <w:tcPr>
            <w:tcW w:w="709" w:type="dxa"/>
            <w:noWrap/>
            <w:hideMark/>
          </w:tcPr>
          <w:p w14:paraId="5336651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709" w:type="dxa"/>
            <w:noWrap/>
            <w:hideMark/>
          </w:tcPr>
          <w:p w14:paraId="68D0682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w:t>
            </w:r>
          </w:p>
        </w:tc>
        <w:tc>
          <w:tcPr>
            <w:tcW w:w="571" w:type="dxa"/>
            <w:noWrap/>
            <w:hideMark/>
          </w:tcPr>
          <w:p w14:paraId="1E38DA1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w:t>
            </w:r>
          </w:p>
        </w:tc>
        <w:tc>
          <w:tcPr>
            <w:tcW w:w="704" w:type="dxa"/>
            <w:noWrap/>
            <w:hideMark/>
          </w:tcPr>
          <w:p w14:paraId="06128A9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w:t>
            </w:r>
          </w:p>
        </w:tc>
        <w:tc>
          <w:tcPr>
            <w:tcW w:w="843" w:type="dxa"/>
            <w:noWrap/>
            <w:hideMark/>
          </w:tcPr>
          <w:p w14:paraId="105C1A4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22-28</w:t>
            </w:r>
          </w:p>
        </w:tc>
        <w:tc>
          <w:tcPr>
            <w:tcW w:w="2268" w:type="dxa"/>
            <w:gridSpan w:val="2"/>
            <w:noWrap/>
            <w:hideMark/>
          </w:tcPr>
          <w:p w14:paraId="3868D19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 (addition)</w:t>
            </w:r>
          </w:p>
        </w:tc>
        <w:tc>
          <w:tcPr>
            <w:tcW w:w="708" w:type="dxa"/>
            <w:gridSpan w:val="2"/>
            <w:noWrap/>
            <w:hideMark/>
          </w:tcPr>
          <w:p w14:paraId="283D3F6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36</w:t>
            </w:r>
          </w:p>
        </w:tc>
        <w:tc>
          <w:tcPr>
            <w:tcW w:w="1710" w:type="dxa"/>
            <w:gridSpan w:val="2"/>
          </w:tcPr>
          <w:p w14:paraId="50B56EE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Bruker</w:t>
            </w:r>
          </w:p>
        </w:tc>
        <w:tc>
          <w:tcPr>
            <w:tcW w:w="1064" w:type="dxa"/>
          </w:tcPr>
          <w:p w14:paraId="5B6CD87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SPM96</w:t>
            </w:r>
          </w:p>
        </w:tc>
        <w:tc>
          <w:tcPr>
            <w:tcW w:w="1377" w:type="dxa"/>
          </w:tcPr>
          <w:p w14:paraId="79B8C4FC"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Pcorr</w:t>
            </w:r>
            <w:proofErr w:type="spellEnd"/>
            <w:r w:rsidRPr="00101744">
              <w:rPr>
                <w:rFonts w:ascii="Arial" w:eastAsia="Times New Roman" w:hAnsi="Arial" w:cs="Arial"/>
                <w:color w:val="000000"/>
                <w:sz w:val="18"/>
                <w:szCs w:val="18"/>
                <w:lang w:val="en-US"/>
              </w:rPr>
              <w:t>&lt;0.05</w:t>
            </w:r>
          </w:p>
        </w:tc>
        <w:tc>
          <w:tcPr>
            <w:tcW w:w="663" w:type="dxa"/>
          </w:tcPr>
          <w:p w14:paraId="4069F88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4000</w:t>
            </w:r>
          </w:p>
        </w:tc>
        <w:tc>
          <w:tcPr>
            <w:tcW w:w="1148" w:type="dxa"/>
          </w:tcPr>
          <w:p w14:paraId="3C6F113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w:t>
            </w:r>
          </w:p>
        </w:tc>
      </w:tr>
      <w:tr w:rsidR="003D1F45" w:rsidRPr="00101744" w14:paraId="0D922443" w14:textId="77777777" w:rsidTr="00B60BB2">
        <w:trPr>
          <w:trHeight w:val="300"/>
        </w:trPr>
        <w:tc>
          <w:tcPr>
            <w:tcW w:w="2269" w:type="dxa"/>
            <w:noWrap/>
            <w:hideMark/>
          </w:tcPr>
          <w:p w14:paraId="244E9E45" w14:textId="7EFF3505"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lastRenderedPageBreak/>
              <w:fldChar w:fldCharType="begin" w:fldLock="1"/>
            </w:r>
            <w:r w:rsidR="00C14016">
              <w:rPr>
                <w:rFonts w:ascii="Arial" w:hAnsi="Arial" w:cs="Arial"/>
                <w:color w:val="000000"/>
                <w:sz w:val="18"/>
                <w:szCs w:val="18"/>
                <w:lang w:eastAsia="pt-PT"/>
              </w:rPr>
              <w:instrText>ADDIN CSL_CITATION {"citationItems":[{"id":"ITEM-1","itemData":{"ISSN":"0926-6410","PMID":"14659499","abstract":"Aim of the present functional magnet resonance imaging (fMRI) study was to detect modifications of cerebral activation patterns related to learning arithmetic. Thirteen right-handed subjects were extensively trained on a set of 18 complex multiplication problems. In the following fMRI session, trained and untrained problems (closely matched for difficulty) were presented in blocked order alternating with a number matching task and a fact retrieval task. Importantly, left hemispheric activations were dominant in the two contrasts between untrained and trained condition, suggesting that learning processes in arithmetic are predominantly supported by the left hemisphere. Contrasting untrained versus trained condition, the left intraparietal sulcus showed significant activations, as well as the inferior parietal lobule. A further significant activation was found in the left inferior frontal gyrus. This activation may be accounted for by higher working memory demands in the untrained as compared to the trained condition. Contrasting trained versus untrained condition a significant focus of activation was found in the left angular gyrus. Following the triple-code model [Science 284 (1999) 970], the shift of activation within the parietal lobe from the intraparietal sulcus to the left angular gyrus suggests a modification from quantity-based processing to more automatic retrieval. The present study shows that the left angular gyrus is not only involved in arithmetic tasks requiring simple fact retrieval, but may show s</w:instrText>
            </w:r>
            <w:r w:rsidR="00C14016" w:rsidRPr="00C14016">
              <w:rPr>
                <w:rFonts w:ascii="Arial" w:hAnsi="Arial" w:cs="Arial"/>
                <w:color w:val="000000"/>
                <w:sz w:val="18"/>
                <w:szCs w:val="18"/>
                <w:lang w:val="en-GB" w:eastAsia="pt-PT"/>
              </w:rPr>
              <w:instrText>ignificant activations as a result of relatively short training of complex calculation.","author":[{"dropping-particle":"","family":"Delazer","given":"M","non-dropping-particle":"","parse-names":false,"suffix":""},{"dropping-particle":"","family":"Domahs","given":"F","non-dropping-particle":"","parse-names":false,"suffix":""},{"dropping-particle":"","family":"Bartha","given":"L","non-dropping-particle":"","parse-names":false,"suffix":""},{"dropping-particle":"","family":"Brenneis","given":"C","non-dropping-particle":"","parse-names":false,"suffix":""},{"dropping-particle":"","family":"Lochy","given":"A","non-dropping-particle":"","parse-names":false,"suffix":""},{"dropping-particle":"","family":"Trieb","given":"T","non-dropping-particle":"","parse-names":false,"suffix":""},{"dropping-particle":"","family":"Benke","given":"T","non-dropping-particle":"","parse-names":false,"suffix":""}],"container-title":"Brain research. Cognitive brain research","id":"ITEM-1","issue":"1","issued":{"date-parts":[["2003","12"]]},"page":"76-88","title":"Learning complex arithmetic--an fMRI study.","type":"article-journal","volume":"18"},"uris":["http://www.mendeley.com/documents/?uuid=4d2c1d76-72f5-3d5b-be3d-928990e067a2"]}],"mendeley":{"formattedCitation":"(Delazer et al. 2003)","plainTextFormattedCitation":"(Delazer et al. 2003)","previouslyFormattedCitation":"&lt;sup&gt;88&lt;/sup&gt;"},"properties":{"noteIndex":0},"schema":"https://github.com/citation-style-language/schema/raw/master/csl-citation.json"}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(Delazer et al. 2003)</w:t>
            </w:r>
            <w:r w:rsidRPr="00101744">
              <w:rPr>
                <w:rFonts w:ascii="Arial" w:eastAsia="Times New Roman" w:hAnsi="Arial" w:cs="Arial"/>
                <w:color w:val="000000"/>
                <w:sz w:val="18"/>
                <w:szCs w:val="18"/>
                <w:lang w:val="en-US" w:eastAsia="pt-PT"/>
              </w:rPr>
              <w:fldChar w:fldCharType="end"/>
            </w:r>
          </w:p>
        </w:tc>
        <w:tc>
          <w:tcPr>
            <w:tcW w:w="709" w:type="dxa"/>
            <w:noWrap/>
            <w:hideMark/>
          </w:tcPr>
          <w:p w14:paraId="771A8C5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13</w:t>
            </w:r>
          </w:p>
        </w:tc>
        <w:tc>
          <w:tcPr>
            <w:tcW w:w="709" w:type="dxa"/>
            <w:noWrap/>
            <w:hideMark/>
          </w:tcPr>
          <w:p w14:paraId="5086C63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571" w:type="dxa"/>
            <w:noWrap/>
            <w:hideMark/>
          </w:tcPr>
          <w:p w14:paraId="5D6DFE8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704" w:type="dxa"/>
            <w:noWrap/>
            <w:hideMark/>
          </w:tcPr>
          <w:p w14:paraId="5FCA216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30.5</w:t>
            </w:r>
          </w:p>
        </w:tc>
        <w:tc>
          <w:tcPr>
            <w:tcW w:w="843" w:type="dxa"/>
            <w:noWrap/>
            <w:hideMark/>
          </w:tcPr>
          <w:p w14:paraId="6870A4F7"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4475802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 (Multiplication)</w:t>
            </w:r>
          </w:p>
        </w:tc>
        <w:tc>
          <w:tcPr>
            <w:tcW w:w="708" w:type="dxa"/>
            <w:gridSpan w:val="2"/>
            <w:noWrap/>
            <w:hideMark/>
          </w:tcPr>
          <w:p w14:paraId="6AC3467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21</w:t>
            </w:r>
          </w:p>
        </w:tc>
        <w:tc>
          <w:tcPr>
            <w:tcW w:w="1710" w:type="dxa"/>
            <w:gridSpan w:val="2"/>
          </w:tcPr>
          <w:p w14:paraId="60742B2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1.5T Vision Siemens</w:t>
            </w:r>
          </w:p>
        </w:tc>
        <w:tc>
          <w:tcPr>
            <w:tcW w:w="1064" w:type="dxa"/>
          </w:tcPr>
          <w:p w14:paraId="63A99AF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SPM99b</w:t>
            </w:r>
          </w:p>
        </w:tc>
        <w:tc>
          <w:tcPr>
            <w:tcW w:w="1377" w:type="dxa"/>
          </w:tcPr>
          <w:p w14:paraId="7CABD1D8"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voxelwise</w:t>
            </w:r>
            <w:proofErr w:type="spellEnd"/>
            <w:r w:rsidRPr="00101744">
              <w:rPr>
                <w:rFonts w:ascii="Arial" w:eastAsia="Times New Roman" w:hAnsi="Arial" w:cs="Arial"/>
                <w:color w:val="000000"/>
                <w:sz w:val="18"/>
                <w:szCs w:val="18"/>
                <w:lang w:val="en-US"/>
              </w:rPr>
              <w:t xml:space="preserve"> P&lt;0.001</w:t>
            </w:r>
          </w:p>
        </w:tc>
        <w:tc>
          <w:tcPr>
            <w:tcW w:w="663" w:type="dxa"/>
          </w:tcPr>
          <w:p w14:paraId="669E47E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3,75</w:t>
            </w:r>
          </w:p>
        </w:tc>
        <w:tc>
          <w:tcPr>
            <w:tcW w:w="1148" w:type="dxa"/>
          </w:tcPr>
          <w:p w14:paraId="613A1DB2" w14:textId="77777777" w:rsidR="003D1F45" w:rsidRPr="00101744" w:rsidRDefault="003D1F45" w:rsidP="00B60BB2">
            <w:pPr>
              <w:jc w:val="center"/>
              <w:rPr>
                <w:rFonts w:ascii="Arial" w:eastAsia="Times New Roman" w:hAnsi="Arial" w:cs="Arial"/>
                <w:color w:val="000000"/>
                <w:sz w:val="18"/>
                <w:szCs w:val="18"/>
                <w:lang w:val="en-US" w:eastAsia="pt-PT"/>
              </w:rPr>
            </w:pPr>
          </w:p>
        </w:tc>
      </w:tr>
      <w:tr w:rsidR="003D1F45" w:rsidRPr="00101744" w14:paraId="7529FBED" w14:textId="77777777" w:rsidTr="00B60BB2">
        <w:trPr>
          <w:trHeight w:val="300"/>
        </w:trPr>
        <w:tc>
          <w:tcPr>
            <w:tcW w:w="2269" w:type="dxa"/>
            <w:noWrap/>
            <w:hideMark/>
          </w:tcPr>
          <w:p w14:paraId="3A85D5B6" w14:textId="3DE300CA"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{"citationItems":[{"id":"ITEM-1","itemData":{"ISSN":"0364-5134","PMID":"11026450","abstract":"A patient with an intracranial hemorrhage showed differential impairment among arithmetic types (impaired in multiplication but not in subtraction). A functional magnetic resonance imaging (fMRI) experiment using normal volunteers also revealed a differential activation between the two arithmetic types. The fMRI result could account for the selective acalculia of the patient in that the lesion shown by structural MRI included the region with multiplication-higher activation and spared subtraction-higher regions. These findings suggest that the cognitive mechanism and neural substrates differ among the simple arithmetic operations.","author":[{"dropping-particle":"","family":"Lee","given":"K M","non-dropping-particle":"","parse-names":false,"suffix":""}],"container-title":"Annals of neurology","id":"ITEM-1","issue":"4","issued":{"date-parts":[["2000","10"]]},"page":"657-61","title":"Cortical areas differentially involved in multiplication and subtraction: a functional magnetic resonance imaging study and correlation with a case of selective acalculia.","type":"article-journal","volume":"48"},"uris":["http://www.mendeley.com/documents/?uuid=82d41c52-46c5-3202-a5ef-3af9967ee60f"]}],"mendeley":{"formattedCitation":"(K. M. Lee 2000)","plainTextFormatt</w:instrText>
            </w:r>
            <w:r w:rsidR="00C14016">
              <w:rPr>
                <w:rFonts w:ascii="Arial" w:hAnsi="Arial" w:cs="Arial"/>
                <w:color w:val="000000"/>
                <w:sz w:val="18"/>
                <w:szCs w:val="18"/>
                <w:lang w:eastAsia="pt-PT"/>
              </w:rPr>
              <w:instrText>edCitation":"(K. M. Lee 2000)","previouslyFormattedCitation":"&lt;sup&gt;89&lt;/sup&gt;"},"properties":{"noteIndex":0},"schema":"https://github.com/citation-style-language/schema/raw/master/csl-citation.json"}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(K. M. Lee 2000)</w:t>
            </w:r>
            <w:r w:rsidRPr="00101744">
              <w:rPr>
                <w:rFonts w:ascii="Arial" w:eastAsia="Times New Roman" w:hAnsi="Arial" w:cs="Arial"/>
                <w:color w:val="000000"/>
                <w:sz w:val="18"/>
                <w:szCs w:val="18"/>
                <w:lang w:val="en-US" w:eastAsia="pt-PT"/>
              </w:rPr>
              <w:fldChar w:fldCharType="end"/>
            </w:r>
          </w:p>
        </w:tc>
        <w:tc>
          <w:tcPr>
            <w:tcW w:w="709" w:type="dxa"/>
            <w:noWrap/>
            <w:hideMark/>
          </w:tcPr>
          <w:p w14:paraId="3B6489E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11</w:t>
            </w:r>
          </w:p>
        </w:tc>
        <w:tc>
          <w:tcPr>
            <w:tcW w:w="709" w:type="dxa"/>
            <w:noWrap/>
            <w:hideMark/>
          </w:tcPr>
          <w:p w14:paraId="1B0A194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571" w:type="dxa"/>
            <w:noWrap/>
            <w:hideMark/>
          </w:tcPr>
          <w:p w14:paraId="6D78E73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w:t>
            </w:r>
          </w:p>
        </w:tc>
        <w:tc>
          <w:tcPr>
            <w:tcW w:w="704" w:type="dxa"/>
            <w:noWrap/>
            <w:hideMark/>
          </w:tcPr>
          <w:p w14:paraId="524B7084"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843" w:type="dxa"/>
            <w:noWrap/>
            <w:hideMark/>
          </w:tcPr>
          <w:p w14:paraId="332846B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25-35</w:t>
            </w:r>
          </w:p>
        </w:tc>
        <w:tc>
          <w:tcPr>
            <w:tcW w:w="2268" w:type="dxa"/>
            <w:gridSpan w:val="2"/>
            <w:noWrap/>
            <w:hideMark/>
          </w:tcPr>
          <w:p w14:paraId="2B2D3D8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 (Multiplication and subtraction)</w:t>
            </w:r>
          </w:p>
        </w:tc>
        <w:tc>
          <w:tcPr>
            <w:tcW w:w="708" w:type="dxa"/>
            <w:gridSpan w:val="2"/>
            <w:noWrap/>
            <w:hideMark/>
          </w:tcPr>
          <w:p w14:paraId="019F6C7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14</w:t>
            </w:r>
          </w:p>
        </w:tc>
        <w:tc>
          <w:tcPr>
            <w:tcW w:w="1710" w:type="dxa"/>
            <w:gridSpan w:val="2"/>
          </w:tcPr>
          <w:p w14:paraId="5C100E8E"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064" w:type="dxa"/>
          </w:tcPr>
          <w:p w14:paraId="6F0B3FD1"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377" w:type="dxa"/>
          </w:tcPr>
          <w:p w14:paraId="1D9C1F40"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63" w:type="dxa"/>
          </w:tcPr>
          <w:p w14:paraId="0967AA80"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148" w:type="dxa"/>
          </w:tcPr>
          <w:p w14:paraId="6904B894" w14:textId="77777777" w:rsidR="003D1F45" w:rsidRPr="00101744" w:rsidRDefault="003D1F45" w:rsidP="00B60BB2">
            <w:pPr>
              <w:jc w:val="center"/>
              <w:rPr>
                <w:rFonts w:ascii="Arial" w:eastAsia="Times New Roman" w:hAnsi="Arial" w:cs="Arial"/>
                <w:color w:val="000000"/>
                <w:sz w:val="18"/>
                <w:szCs w:val="18"/>
                <w:lang w:val="en-US" w:eastAsia="pt-PT"/>
              </w:rPr>
            </w:pPr>
          </w:p>
        </w:tc>
      </w:tr>
      <w:tr w:rsidR="003D1F45" w:rsidRPr="00101744" w14:paraId="47B479AE" w14:textId="77777777" w:rsidTr="00B60BB2">
        <w:trPr>
          <w:trHeight w:val="300"/>
        </w:trPr>
        <w:tc>
          <w:tcPr>
            <w:tcW w:w="2269" w:type="dxa"/>
            <w:noWrap/>
            <w:hideMark/>
          </w:tcPr>
          <w:p w14:paraId="66B29E18" w14:textId="3DA6F656"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{"citationItems":[{"id":"ITEM-1","itemData":{"ISSN":"1047-3211","PMID":"11549619","abstract":"Most of the current brain imaging methods are limited by the low spatial resolution of neuroimaging techniques and remain unable to measure activity at the scale of single neurons or small columns of neurons, which are the coding elements of the nervous system. In this work we have adapted the priming method, an emerging research strategy that can overcome some of these spatial limitations, to investigate the coding of numerical quantities in the human brain. This approach combines the logic of psychological priming experiments with the recently discovered neurophysiological phenomenon called repetition suppression (RS). In each trial, while subjects perform a constant task, a subliminal prime is presented prior to each target. By varying the relationship between prime and target, one can detect which brain areas present RS specifically for any given level of prime-target repetition. We first expose the general logic, potential and limitations of the priming method and then illustrate it by demonstrating that a region of parietal cortex is coding for numbers at the quantity level, independently of other stimulus attributes, and that this region processes both consciously and unconsciously perceived stimuli.","author":[{"dropping-particle":"","family":"Naccache","given":"L","non-dropping-particle":"","parse-names":false,"suffix":""},{"dropping-particle":"","family":"Dehaene","given":"S","non-dropping-particle":"","parse-names":false,"suffix":""}],"container-title":"Cerebral cortex (New York, N.Y. : 1991)","id":"ITEM-1","issue":"10","issued":{"date-parts":[["2001","10"]]},"page":"966-74","title":"The priming method: imaging unconscious repetition priming reveals an abstract representation of number in the parietal lobes.","type":"article-journal","volume":"11"},"uris":["http://www.mendeley.com/documents/?uuid=20238858-4278-3889-87f1-88387b80ab17"]}],"mendeley":{"formattedCitation":"(Naccache and Dehaene 2001)","plainTextFormattedCitation":"(Naccache and Dehaene 2001)","previouslyFormattedCitation":"&lt;sup&gt;90&lt;/sup&gt;"},"properties":{"noteIndex":0},"schema":"https://github.com/citation-style-language/schema/raw/master/csl-citation.json"}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(Naccache and Dehaene 2001)</w:t>
            </w:r>
            <w:r w:rsidRPr="00101744">
              <w:rPr>
                <w:rFonts w:ascii="Arial" w:eastAsia="Times New Roman" w:hAnsi="Arial" w:cs="Arial"/>
                <w:color w:val="000000"/>
                <w:sz w:val="18"/>
                <w:szCs w:val="18"/>
                <w:lang w:val="en-US" w:eastAsia="pt-PT"/>
              </w:rPr>
              <w:fldChar w:fldCharType="end"/>
            </w:r>
          </w:p>
        </w:tc>
        <w:tc>
          <w:tcPr>
            <w:tcW w:w="709" w:type="dxa"/>
            <w:noWrap/>
            <w:hideMark/>
          </w:tcPr>
          <w:p w14:paraId="6D67E73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9</w:t>
            </w:r>
          </w:p>
        </w:tc>
        <w:tc>
          <w:tcPr>
            <w:tcW w:w="709" w:type="dxa"/>
            <w:noWrap/>
            <w:hideMark/>
          </w:tcPr>
          <w:p w14:paraId="461F1E4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571" w:type="dxa"/>
            <w:noWrap/>
            <w:hideMark/>
          </w:tcPr>
          <w:p w14:paraId="32D93AD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w:t>
            </w:r>
          </w:p>
        </w:tc>
        <w:tc>
          <w:tcPr>
            <w:tcW w:w="704" w:type="dxa"/>
            <w:noWrap/>
            <w:hideMark/>
          </w:tcPr>
          <w:p w14:paraId="52B455E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26</w:t>
            </w:r>
          </w:p>
        </w:tc>
        <w:tc>
          <w:tcPr>
            <w:tcW w:w="843" w:type="dxa"/>
            <w:noWrap/>
            <w:hideMark/>
          </w:tcPr>
          <w:p w14:paraId="6B4F5C8C"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5E9E4F7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Number comparison</w:t>
            </w:r>
          </w:p>
        </w:tc>
        <w:tc>
          <w:tcPr>
            <w:tcW w:w="708" w:type="dxa"/>
            <w:gridSpan w:val="2"/>
            <w:noWrap/>
            <w:hideMark/>
          </w:tcPr>
          <w:p w14:paraId="7A5B2B3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w:t>
            </w:r>
          </w:p>
        </w:tc>
        <w:tc>
          <w:tcPr>
            <w:tcW w:w="1710" w:type="dxa"/>
            <w:gridSpan w:val="2"/>
          </w:tcPr>
          <w:p w14:paraId="1695FCE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Bruker</w:t>
            </w:r>
          </w:p>
        </w:tc>
        <w:tc>
          <w:tcPr>
            <w:tcW w:w="1064" w:type="dxa"/>
          </w:tcPr>
          <w:p w14:paraId="13130F3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SPM96</w:t>
            </w:r>
          </w:p>
        </w:tc>
        <w:tc>
          <w:tcPr>
            <w:tcW w:w="1377" w:type="dxa"/>
          </w:tcPr>
          <w:p w14:paraId="5D3AA144"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Pcorr</w:t>
            </w:r>
            <w:proofErr w:type="spellEnd"/>
            <w:r w:rsidRPr="00101744">
              <w:rPr>
                <w:rFonts w:ascii="Arial" w:eastAsia="Times New Roman" w:hAnsi="Arial" w:cs="Arial"/>
                <w:color w:val="000000"/>
                <w:sz w:val="18"/>
                <w:szCs w:val="18"/>
                <w:lang w:val="en-US"/>
              </w:rPr>
              <w:t>&lt;0.05</w:t>
            </w:r>
          </w:p>
        </w:tc>
        <w:tc>
          <w:tcPr>
            <w:tcW w:w="663" w:type="dxa"/>
          </w:tcPr>
          <w:p w14:paraId="2D499F1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7C68488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r>
      <w:tr w:rsidR="003D1F45" w:rsidRPr="00101744" w14:paraId="419727F1" w14:textId="77777777" w:rsidTr="00B60BB2">
        <w:trPr>
          <w:trHeight w:val="300"/>
        </w:trPr>
        <w:tc>
          <w:tcPr>
            <w:tcW w:w="2269" w:type="dxa"/>
            <w:noWrap/>
            <w:hideMark/>
          </w:tcPr>
          <w:p w14:paraId="71ACD90E" w14:textId="62BC15CA"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{"citationItems":[{"id":"ITEM-1","itemData":{"DOI":"10.1176/appi.ajp.161.2.286","ISSN":"0002-953X","PMID":"14754778","abstract":"OBJECTIVE The authors used functional magnetic resonance imaging (fMRI) to investigate brain activation in patients with schizophrenia and major depression while they performed two tasks-a vigilance task and a mental arithmetic task-that differed in cognitive complexity. METHOD In the vigilance task, the participants had to press a response button whenever a specific number was seen on a screen inside the MR scanner. In the mental arithmetic task, the participants had to add two consecutive numbers and press the response button whenever the sum was 10. fMRI was performed with a 1.5-T MR scanner. Twelve patients with recurrent nonpsychotic unipolar major depression, 12 patients with schizophrenia, and 12 healthy comparison subjects were included in the study. RESULTS Performance data showed that the patients were impaired relative to the comparison subjects and showed no difference in performance between the patient groups. The patients with schizophrenia, but not those with major depression, had less activation in prefrontal brain regions, relative to the comparison participants. However, subtracting brain activation during the vigilance task from activation during the mental arithmetic task showed that the schizophrenia patients had activation in parietal areas. CONCLUSIONS A double dissociation of parietal and frontal lobe activation was found for the schizophrenia patients and the depression patients. The greater parietal lobe activation in the patients with schizophrenia may reflect a compensatory strategy for the failure to recruit cognitive processes that involve frontal lobe areas when solving a mental arithmetic task.","author":[{"dropping-particle":"","family":"Hugdahl","given":"Kenneth","non-dropping-particle":"","parse-names":false,"suffix":""},{"dropping-particle":"","family":"Rund","given":"Bjørn Rishovd","non-dropping-particle":"","parse-names":false,"suffix":""},{"dropping-particle":"","family":"Lund","given":"Anders","non-dropping-particle":"","parse-names":false,"suffix":""},{"dropping-particle":"","family":"Asbjørnsen","given":"Arve","non-dropping-particle":"","parse-names":false,"suffix":""},{"dropping-particle":"","family":"Egeland","given":"Jens","non-dropping-particle":"","parse-names":false,"suffix":""},{"dropping-particle":"","family":"Ersland","given":"Lars","non-dropping-particle":"","parse-names":false,"suffix":""},{"dropping-particle":"","family":"Landrø","given":"Nils Inge","non-dropping-particle":"","parse-names":false,"suffix":""},{"dropping-particle":"","family":"Roness","given":"Atle","non-dropping-particle":"","parse-names":false,"suffix":""},{"dropping-particle":"","family":"Stordal","given":"Kirsten I.","non-dropping-particle":"","parse-names":false,"suffix":""},{"dropping-particle":"","family":"Sundet","given":"Kjetil","non-dropping-particle":"","parse-names":false,"suffix":""},{"dropping-particle":"","family":"Thomsen","given":"Tormod","non-dropping-particle":"","parse-names":false,"suffix":""}],"container-title":"American Journal of Psychiatry","id":"ITEM-1","issue":"2","issued":{"date-parts":[["2004","2"]]},"page":"286-293","title":"Brain Activation Measured With fMRI During a Mental Arithmetic Task in Schizophrenia and Major Depression","type":"article-journal","volume":"161"},"uris":["http://www.mendeley.com/documents/?uuid=a72704c7-4667-3c07-bd5d-364ce199d940"]}],"mendeley":{"formattedCitation":"(Hugdahl et al. 2004)","plainTextFormattedCitation":"(Hugdahl et al. 2004)","previouslyFormattedCitation":"&lt;sup&gt;91&lt;/sup&gt;"},"properties":{"noteIndex":0},"schema":"https://github.com/citation-style-language/schema/raw/master/csl-citation.json"}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(Hugdahl et al. 2004)</w:t>
            </w:r>
            <w:r w:rsidRPr="00101744">
              <w:rPr>
                <w:rFonts w:ascii="Arial" w:eastAsia="Times New Roman" w:hAnsi="Arial" w:cs="Arial"/>
                <w:color w:val="000000"/>
                <w:sz w:val="18"/>
                <w:szCs w:val="18"/>
                <w:lang w:val="en-US" w:eastAsia="pt-PT"/>
              </w:rPr>
              <w:fldChar w:fldCharType="end"/>
            </w:r>
          </w:p>
        </w:tc>
        <w:tc>
          <w:tcPr>
            <w:tcW w:w="709" w:type="dxa"/>
            <w:noWrap/>
            <w:hideMark/>
          </w:tcPr>
          <w:p w14:paraId="0F0FEDE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12</w:t>
            </w:r>
          </w:p>
        </w:tc>
        <w:tc>
          <w:tcPr>
            <w:tcW w:w="709" w:type="dxa"/>
            <w:noWrap/>
            <w:hideMark/>
          </w:tcPr>
          <w:p w14:paraId="7126FF5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w:t>
            </w:r>
          </w:p>
        </w:tc>
        <w:tc>
          <w:tcPr>
            <w:tcW w:w="571" w:type="dxa"/>
            <w:noWrap/>
            <w:hideMark/>
          </w:tcPr>
          <w:p w14:paraId="001EF545" w14:textId="77777777" w:rsidR="003D1F45" w:rsidRPr="00101744" w:rsidRDefault="003D1F45" w:rsidP="00B60BB2">
            <w:pPr>
              <w:jc w:val="center"/>
              <w:rPr>
                <w:rFonts w:ascii="Arial" w:eastAsia="Times New Roman" w:hAnsi="Arial" w:cs="Arial"/>
                <w:sz w:val="18"/>
                <w:szCs w:val="18"/>
                <w:lang w:val="en-US" w:eastAsia="pt-PT"/>
              </w:rPr>
            </w:pPr>
            <w:r w:rsidRPr="00101744">
              <w:rPr>
                <w:rFonts w:ascii="Arial" w:eastAsia="Times New Roman" w:hAnsi="Arial" w:cs="Arial"/>
                <w:color w:val="000000"/>
                <w:sz w:val="18"/>
                <w:szCs w:val="18"/>
                <w:lang w:val="en-US"/>
              </w:rPr>
              <w:t>7</w:t>
            </w:r>
          </w:p>
        </w:tc>
        <w:tc>
          <w:tcPr>
            <w:tcW w:w="704" w:type="dxa"/>
            <w:noWrap/>
            <w:hideMark/>
          </w:tcPr>
          <w:p w14:paraId="3EB3F5F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31</w:t>
            </w:r>
          </w:p>
        </w:tc>
        <w:tc>
          <w:tcPr>
            <w:tcW w:w="843" w:type="dxa"/>
            <w:noWrap/>
            <w:hideMark/>
          </w:tcPr>
          <w:p w14:paraId="18EFCA6B"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423529E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w:t>
            </w:r>
          </w:p>
        </w:tc>
        <w:tc>
          <w:tcPr>
            <w:tcW w:w="708" w:type="dxa"/>
            <w:gridSpan w:val="2"/>
            <w:noWrap/>
            <w:hideMark/>
          </w:tcPr>
          <w:p w14:paraId="0C94BA1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w:t>
            </w:r>
          </w:p>
        </w:tc>
        <w:tc>
          <w:tcPr>
            <w:tcW w:w="1710" w:type="dxa"/>
            <w:gridSpan w:val="2"/>
          </w:tcPr>
          <w:p w14:paraId="40B3C8E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1.5T Vision Plus Siemens</w:t>
            </w:r>
          </w:p>
        </w:tc>
        <w:tc>
          <w:tcPr>
            <w:tcW w:w="1064" w:type="dxa"/>
          </w:tcPr>
          <w:p w14:paraId="4C2F9A9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SPM99</w:t>
            </w:r>
          </w:p>
        </w:tc>
        <w:tc>
          <w:tcPr>
            <w:tcW w:w="1377" w:type="dxa"/>
          </w:tcPr>
          <w:p w14:paraId="5949732F"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63" w:type="dxa"/>
          </w:tcPr>
          <w:p w14:paraId="71D4A8F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6000</w:t>
            </w:r>
          </w:p>
        </w:tc>
        <w:tc>
          <w:tcPr>
            <w:tcW w:w="1148" w:type="dxa"/>
          </w:tcPr>
          <w:p w14:paraId="0663E6B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3.44</w:t>
            </w:r>
          </w:p>
        </w:tc>
      </w:tr>
      <w:tr w:rsidR="003D1F45" w:rsidRPr="00101744" w14:paraId="6F272DE3" w14:textId="77777777" w:rsidTr="00B60BB2">
        <w:trPr>
          <w:trHeight w:val="300"/>
        </w:trPr>
        <w:tc>
          <w:tcPr>
            <w:tcW w:w="2269" w:type="dxa"/>
            <w:noWrap/>
            <w:hideMark/>
          </w:tcPr>
          <w:p w14:paraId="5EE40F22" w14:textId="65E438C2"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{"citationItems":[{"id":"ITEM-1","itemData":{"ISSN":"1047-3211","PMID":"10859136","abstract":"The central executive is both an important and poorly understood construct that is invoked in current theoretical models of human cognition and in various dysexecutive clinical syndromes. We report a task designed to isolate one elementary executive function, namely the allocation of attentional resources within working memory. The frequency with which attention was switched between items in working memory was varied across different trials, while storage and rehearsal demands were held constant. Functional magnetic resonance imaging revealed widespread areas, both prefrontal and more posterior, that differentially activated as a function of a trial's executive demands. Furthermore, areas that differed as a function of executive demands tended to lie adjacent to areas that were activated during the task but that did not so differ. Together, these data suggest that a distributed neuroanatomy, rather than a specific and unique locus, underlies this attention switching executive function.","author":[{"dropping-particle":"","family":"Garavan","given":"H","non-dropping-particle":"","parse-names":false,"suffix":""},{"dropping-particle":"","family":"Ross","given":"T J","non-dropping-particle":"","parse-names":false,"suffix":""},{"dropping-particle":"","family":"Li","given":"S J","non-dropping-particle":"","parse-names":false,"suffix":""},{"dropping-particle":"","family":"Stein","given":"E A","non-dropping-particle":"","parse-names":false,"suffix":""}],"container-title":"Cerebral cortex (New York, N.Y. : 1991)","id":"ITEM-1","issue":"6","issued":{"date-parts":[["2000","6"]]},"page":"585-92","title":"A parametric manipulation of central executive functioning.","type":"article-journal","volume":"10"},"uris":["http://www.mendeley.com/documents/?uuid=de5ec85c-adaf-32b2-83be-5e5b9ba4f1e7"]}],"mendeley":{"formattedCitation":"(Garavan et al. 2000)","plainTextFormattedCitation":"(Garavan et al. 2000)","previouslyFormattedCitation":"&lt;sup&gt;92&lt;/sup&gt;"},"properties":{"noteIndex":0},"schema":"https://github.com/citation-style-language/schema/raw/master/csl-citation.json"}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(Garavan et al. 2000)</w:t>
            </w:r>
            <w:r w:rsidRPr="00101744">
              <w:rPr>
                <w:rFonts w:ascii="Arial" w:eastAsia="Times New Roman" w:hAnsi="Arial" w:cs="Arial"/>
                <w:color w:val="000000"/>
                <w:sz w:val="18"/>
                <w:szCs w:val="18"/>
                <w:lang w:val="en-US" w:eastAsia="pt-PT"/>
              </w:rPr>
              <w:fldChar w:fldCharType="end"/>
            </w:r>
          </w:p>
        </w:tc>
        <w:tc>
          <w:tcPr>
            <w:tcW w:w="709" w:type="dxa"/>
            <w:noWrap/>
            <w:hideMark/>
          </w:tcPr>
          <w:p w14:paraId="6E25693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11</w:t>
            </w:r>
          </w:p>
        </w:tc>
        <w:tc>
          <w:tcPr>
            <w:tcW w:w="709" w:type="dxa"/>
            <w:noWrap/>
            <w:hideMark/>
          </w:tcPr>
          <w:p w14:paraId="2C43137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571" w:type="dxa"/>
            <w:noWrap/>
            <w:hideMark/>
          </w:tcPr>
          <w:p w14:paraId="244F837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w:t>
            </w:r>
          </w:p>
        </w:tc>
        <w:tc>
          <w:tcPr>
            <w:tcW w:w="704" w:type="dxa"/>
            <w:noWrap/>
            <w:hideMark/>
          </w:tcPr>
          <w:p w14:paraId="1972688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29</w:t>
            </w:r>
          </w:p>
        </w:tc>
        <w:tc>
          <w:tcPr>
            <w:tcW w:w="843" w:type="dxa"/>
            <w:noWrap/>
            <w:hideMark/>
          </w:tcPr>
          <w:p w14:paraId="552010A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19-41</w:t>
            </w:r>
          </w:p>
        </w:tc>
        <w:tc>
          <w:tcPr>
            <w:tcW w:w="2268" w:type="dxa"/>
            <w:gridSpan w:val="2"/>
            <w:noWrap/>
            <w:hideMark/>
          </w:tcPr>
          <w:p w14:paraId="4A2ABC5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Counting</w:t>
            </w:r>
          </w:p>
        </w:tc>
        <w:tc>
          <w:tcPr>
            <w:tcW w:w="708" w:type="dxa"/>
            <w:gridSpan w:val="2"/>
            <w:noWrap/>
            <w:hideMark/>
          </w:tcPr>
          <w:p w14:paraId="6487425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40</w:t>
            </w:r>
          </w:p>
        </w:tc>
        <w:tc>
          <w:tcPr>
            <w:tcW w:w="1710" w:type="dxa"/>
            <w:gridSpan w:val="2"/>
          </w:tcPr>
          <w:p w14:paraId="340A134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1.5T </w:t>
            </w:r>
            <w:proofErr w:type="spellStart"/>
            <w:r w:rsidRPr="00101744">
              <w:rPr>
                <w:rFonts w:ascii="Arial" w:eastAsia="Times New Roman" w:hAnsi="Arial" w:cs="Arial"/>
                <w:color w:val="000000"/>
                <w:sz w:val="18"/>
                <w:szCs w:val="18"/>
                <w:lang w:val="en-US"/>
              </w:rPr>
              <w:t>Signa</w:t>
            </w:r>
            <w:proofErr w:type="spellEnd"/>
            <w:r w:rsidRPr="00101744">
              <w:rPr>
                <w:rFonts w:ascii="Arial" w:eastAsia="Times New Roman" w:hAnsi="Arial" w:cs="Arial"/>
                <w:color w:val="000000"/>
                <w:sz w:val="18"/>
                <w:szCs w:val="18"/>
                <w:lang w:val="en-US"/>
              </w:rPr>
              <w:t xml:space="preserve"> GE</w:t>
            </w:r>
          </w:p>
        </w:tc>
        <w:tc>
          <w:tcPr>
            <w:tcW w:w="1064" w:type="dxa"/>
          </w:tcPr>
          <w:p w14:paraId="0192395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AFNIv2.2</w:t>
            </w:r>
          </w:p>
        </w:tc>
        <w:tc>
          <w:tcPr>
            <w:tcW w:w="1377" w:type="dxa"/>
          </w:tcPr>
          <w:p w14:paraId="61ADF746"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&lt;0.01</w:t>
            </w:r>
          </w:p>
        </w:tc>
        <w:tc>
          <w:tcPr>
            <w:tcW w:w="663" w:type="dxa"/>
          </w:tcPr>
          <w:p w14:paraId="69F4154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4800</w:t>
            </w:r>
          </w:p>
        </w:tc>
        <w:tc>
          <w:tcPr>
            <w:tcW w:w="1148" w:type="dxa"/>
          </w:tcPr>
          <w:p w14:paraId="53E0B90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3.75</w:t>
            </w:r>
          </w:p>
        </w:tc>
      </w:tr>
      <w:tr w:rsidR="003D1F45" w:rsidRPr="00101744" w14:paraId="39FD73E6" w14:textId="77777777" w:rsidTr="00B60BB2">
        <w:trPr>
          <w:trHeight w:val="300"/>
        </w:trPr>
        <w:tc>
          <w:tcPr>
            <w:tcW w:w="2269" w:type="dxa"/>
            <w:noWrap/>
            <w:hideMark/>
          </w:tcPr>
          <w:p w14:paraId="4D185054" w14:textId="3C53B044"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{"citationItems":[{"id":"ITEM-1","itemData":{"DOI":"10.1016/j.neuroimage.2004.09.023","ISSN":"10538119","PMID":"15528119","abstract":"Human functional MRI studies frequently reveal the joint activation of parietal and of lateral and mesial frontal areas during various cognitive tasks. To analyze the geometrical organization of those networks, we used an automatized clustering algorithm that parcels out sets of areas based on their similar profile of task-related activations or deactivations. This algorithm allowed us to reanalyze published fMRI data (Simon, O., Mangin, J.F., Cohen, L., Le Bihan, D., Dehaene, S., 2002. Topographical layout of hand, eye, calculation, and language-related areas in the human parietal lobe. Neuron 33, 475-487) and to reproduce the previously observed geometrical organization of activations for saccades, attention, grasping, pointing, calculation, and language processing in the parietal lobe. Further, we show that this organization extends to lateral and mesial prefrontal regions. Relative to the parietal lobe, the prefrontal functional geometry is characterized by a partially symmetrical anteroposterior ordering of activations, a decreased representation of effector-specific tasks, and a greater emphasis on higher cognitive functions of attention, higher-order spatial representation, calculation, and language. Anatomically, our results in humans are closely homologous to the known connectivity of parietal and frontal regions in the macaque monkey.","author":[{"dropping-particle":"","family":"Simon","given":"Olivier","non-dropping-particle":"","parse-names":false,"suffix":""},{"dropping-particle":"","family":"Kherif","given":"Ferath","non-dropping-particle":"","parse-names":false,"suffix":""},{"dropping-particle":"","family":"Flandin","given":"Guillaume","non-dropping-particle":"","parse-names":false,"suffix":""},{"dropping-particle":"","family":"Poline","given":"Jean-Baptiste","non-dropping-particle":"","parse-names":false,"suffix":""},{"dropping-particle":"","family":"Rivière","given":"Denis","non-dropping-particle":"","parse-names":false,"suffix":""},{"dropping-particle":"","family":"Mangin","given":"Jean-François","non-dropping-particle":"","parse-names":false,"suffix":""},{"dropping-particle":"","family":"Bihan","given":"Denis","non-dropping-particle":"Le","parse-names":false,"suffix":""},{"dropping-particle":"","family":"Dehaene","given":"Stanislas","non-dropping-particle":"","parse-names":false,"suffix":""}],"container-title":"NeuroImage","id":"ITEM-1","issue":"3","issued":{"date-parts":[["2004","11"]]},"page":"1192-1202","title":"Automatized clustering and functional geometry of human parietofrontal networks for language, space, and number","type":"article-journal","volume":"23"},"uris":["http://www.mendeley.com/documents/?uuid=4654ce22-e6f4-30ce-bd5a-ee5e93254e2e"]}],"mendeley":{"formattedCitation":"(Simon et al. 2004)","plainTextFormattedCitation":"(Simon et al. 2004)","previouslyFormattedCitation":"&lt;sup&gt;93&lt;/sup&gt;"},"properties":{"noteIndex":0},"schema":"https://github.com/citation-style-language/schema/raw/master/csl-citation.json"}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(Simon et al. 2004)</w:t>
            </w:r>
            <w:r w:rsidRPr="00101744">
              <w:rPr>
                <w:rFonts w:ascii="Arial" w:eastAsia="Times New Roman" w:hAnsi="Arial" w:cs="Arial"/>
                <w:color w:val="000000"/>
                <w:sz w:val="18"/>
                <w:szCs w:val="18"/>
                <w:lang w:val="en-US" w:eastAsia="pt-PT"/>
              </w:rPr>
              <w:fldChar w:fldCharType="end"/>
            </w:r>
          </w:p>
        </w:tc>
        <w:tc>
          <w:tcPr>
            <w:tcW w:w="709" w:type="dxa"/>
            <w:noWrap/>
            <w:hideMark/>
          </w:tcPr>
          <w:p w14:paraId="38CE91E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709" w:type="dxa"/>
            <w:noWrap/>
            <w:hideMark/>
          </w:tcPr>
          <w:p w14:paraId="67BF967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c>
          <w:tcPr>
            <w:tcW w:w="571" w:type="dxa"/>
            <w:noWrap/>
            <w:hideMark/>
          </w:tcPr>
          <w:p w14:paraId="3BFC4DB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704" w:type="dxa"/>
            <w:noWrap/>
            <w:hideMark/>
          </w:tcPr>
          <w:p w14:paraId="593F24D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w:t>
            </w:r>
          </w:p>
        </w:tc>
        <w:tc>
          <w:tcPr>
            <w:tcW w:w="843" w:type="dxa"/>
            <w:noWrap/>
            <w:hideMark/>
          </w:tcPr>
          <w:p w14:paraId="6674925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22-34</w:t>
            </w:r>
          </w:p>
        </w:tc>
        <w:tc>
          <w:tcPr>
            <w:tcW w:w="2268" w:type="dxa"/>
            <w:gridSpan w:val="2"/>
            <w:noWrap/>
            <w:hideMark/>
          </w:tcPr>
          <w:p w14:paraId="211EC55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w:t>
            </w:r>
          </w:p>
        </w:tc>
        <w:tc>
          <w:tcPr>
            <w:tcW w:w="708" w:type="dxa"/>
            <w:gridSpan w:val="2"/>
            <w:noWrap/>
            <w:hideMark/>
          </w:tcPr>
          <w:p w14:paraId="3486254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11</w:t>
            </w:r>
          </w:p>
        </w:tc>
        <w:tc>
          <w:tcPr>
            <w:tcW w:w="1710" w:type="dxa"/>
            <w:gridSpan w:val="2"/>
          </w:tcPr>
          <w:p w14:paraId="1950D9E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1.5T </w:t>
            </w:r>
            <w:proofErr w:type="spellStart"/>
            <w:r w:rsidRPr="00101744">
              <w:rPr>
                <w:rFonts w:ascii="Arial" w:eastAsia="Times New Roman" w:hAnsi="Arial" w:cs="Arial"/>
                <w:color w:val="000000"/>
                <w:sz w:val="18"/>
                <w:szCs w:val="18"/>
                <w:lang w:val="en-US"/>
              </w:rPr>
              <w:t>Signa</w:t>
            </w:r>
            <w:proofErr w:type="spellEnd"/>
            <w:r w:rsidRPr="00101744">
              <w:rPr>
                <w:rFonts w:ascii="Arial" w:eastAsia="Times New Roman" w:hAnsi="Arial" w:cs="Arial"/>
                <w:color w:val="000000"/>
                <w:sz w:val="18"/>
                <w:szCs w:val="18"/>
                <w:lang w:val="en-US"/>
              </w:rPr>
              <w:t xml:space="preserve"> GE</w:t>
            </w:r>
          </w:p>
        </w:tc>
        <w:tc>
          <w:tcPr>
            <w:tcW w:w="1064" w:type="dxa"/>
          </w:tcPr>
          <w:p w14:paraId="4DC3525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SPM99</w:t>
            </w:r>
          </w:p>
        </w:tc>
        <w:tc>
          <w:tcPr>
            <w:tcW w:w="1377" w:type="dxa"/>
          </w:tcPr>
          <w:p w14:paraId="593AF05B"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&lt;0.01</w:t>
            </w:r>
          </w:p>
        </w:tc>
        <w:tc>
          <w:tcPr>
            <w:tcW w:w="663" w:type="dxa"/>
          </w:tcPr>
          <w:p w14:paraId="4523AC9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04A145B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3.75</w:t>
            </w:r>
          </w:p>
        </w:tc>
      </w:tr>
      <w:tr w:rsidR="003D1F45" w:rsidRPr="00101744" w14:paraId="576DF76A" w14:textId="77777777" w:rsidTr="00B60BB2">
        <w:trPr>
          <w:trHeight w:val="300"/>
        </w:trPr>
        <w:tc>
          <w:tcPr>
            <w:tcW w:w="2269" w:type="dxa"/>
            <w:noWrap/>
            <w:hideMark/>
          </w:tcPr>
          <w:p w14:paraId="4B540B48" w14:textId="343C2AFB"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{"citationItems":[{"id":"ITEM-1","itemData":{"ISSN":"0022-510X","PMID":"12873752","abstract":"BACKGROUND AND PURPOSE The Paced Auditory Serial Attention Task (PASAT) is an attention and information processing task used in patients with diffuse brain disorders, like cerebral trauma and multiple sclerosis (MS). Based on the PASAT we used a adapted version of the test to assess several cognitive functions with fMRI. In this study we investigated the activation pattern on a group and individual level and upon parametric stimulation. METHODS Nine young, healthy, right-handed subjects (mean age 24 years) were studied. The test contrasts an adding-and-memory stage with a control stage in a block design, at two different speeds. Group average maps (random effects analysis, p=0.05) were created to identify the brain areas subserving this task. For each area found active in the group map, the percentage of individuals showing activation in that same anatomical area was calculated. RESULTS Group activation was localized in the superior and inferior parietal lobe bilaterally, the superior frontal gyrus bilaterally, the left medial frontal gyrus, the left inferior frontal gyrus and adjacent part of the insula, the anterior part of the cingulate gyrus and some cerebellar areas. For the main activated areas, 78-100% of the individual subjects showed activation in that same area. Contrasting the low speed with the high speed condition yielded activation with a considerable individual variation. CONCLUSION The group mean activated areas were located mainly in the frontal and parietal lobes and those areas were also activated in the majority of the subjects, indicating limited inter-individual variation, rendering this test suitable for clinical applications in a variety of neurological disorders.","author":[{"dropping-particle":"","family":"Lazeron","given":"Richard H C","non-dropping-particle":"","parse-names":false,"suffix":""},{"dropping-particle":"","family":"Rombouts","given":"Serge A R B","non-dropping-particle":"","parse-names":false,"suffix":""},{"dropping-particle":"","family":"Sonneville","given":"Leo","non-dropping-particle":"de","parse-names":false,"suffix":""},{"dropping-particle":"","family":"Barkhof","given":"Frederik","non-dropping-particle":"","parse-names":false,"suffix":""},{"dropping-particle":"","family":"Scheltens","given":"Philip","non-dropping-particle":"","parse-names":false,"suffix":""}],"container-title":"Journal of the neurological sciences","id":"ITEM-1","issue":"1-2","issued":{"date-parts":[["2003","9","15"]]},"page":"29-34","title":"A paced visual serial addition test for fMRI.","type":"article-journal","volume":"213"},"uris":["http://www.mendeley.com/documents/?uuid=c5333a0c-06e2-3dc4-8f68-38802a06e02c"]}],"mendeley":{"formattedCitation":"(Lazeron et al. 2003)","plainTextFormattedCitation":"(Lazeron et al. 2003)","previouslyFormattedCitation":"&lt;sup&gt;94&lt;/sup&gt;"},"properties":{"noteIndex":0},"schema":"https://github.com/citation-style-language/schema/raw/master/csl-citation.json"}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(Lazeron et al. 2003)</w:t>
            </w:r>
            <w:r w:rsidRPr="00101744">
              <w:rPr>
                <w:rFonts w:ascii="Arial" w:eastAsia="Times New Roman" w:hAnsi="Arial" w:cs="Arial"/>
                <w:color w:val="000000"/>
                <w:sz w:val="18"/>
                <w:szCs w:val="18"/>
                <w:lang w:val="en-US" w:eastAsia="pt-PT"/>
              </w:rPr>
              <w:fldChar w:fldCharType="end"/>
            </w:r>
          </w:p>
        </w:tc>
        <w:tc>
          <w:tcPr>
            <w:tcW w:w="709" w:type="dxa"/>
            <w:noWrap/>
            <w:hideMark/>
          </w:tcPr>
          <w:p w14:paraId="7241A2F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9</w:t>
            </w:r>
          </w:p>
        </w:tc>
        <w:tc>
          <w:tcPr>
            <w:tcW w:w="709" w:type="dxa"/>
            <w:noWrap/>
            <w:hideMark/>
          </w:tcPr>
          <w:p w14:paraId="5B16E24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571" w:type="dxa"/>
            <w:noWrap/>
            <w:hideMark/>
          </w:tcPr>
          <w:p w14:paraId="17F4CA3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c>
          <w:tcPr>
            <w:tcW w:w="704" w:type="dxa"/>
            <w:noWrap/>
            <w:hideMark/>
          </w:tcPr>
          <w:p w14:paraId="24FF625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24</w:t>
            </w:r>
          </w:p>
        </w:tc>
        <w:tc>
          <w:tcPr>
            <w:tcW w:w="843" w:type="dxa"/>
            <w:noWrap/>
            <w:hideMark/>
          </w:tcPr>
          <w:p w14:paraId="746BCDA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19-30</w:t>
            </w:r>
          </w:p>
        </w:tc>
        <w:tc>
          <w:tcPr>
            <w:tcW w:w="2268" w:type="dxa"/>
            <w:gridSpan w:val="2"/>
            <w:noWrap/>
            <w:hideMark/>
          </w:tcPr>
          <w:p w14:paraId="66BDBF7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 (addition)</w:t>
            </w:r>
          </w:p>
        </w:tc>
        <w:tc>
          <w:tcPr>
            <w:tcW w:w="708" w:type="dxa"/>
            <w:gridSpan w:val="2"/>
            <w:noWrap/>
            <w:hideMark/>
          </w:tcPr>
          <w:p w14:paraId="1867D1E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21</w:t>
            </w:r>
          </w:p>
        </w:tc>
        <w:tc>
          <w:tcPr>
            <w:tcW w:w="1710" w:type="dxa"/>
            <w:gridSpan w:val="2"/>
          </w:tcPr>
          <w:p w14:paraId="61EBC32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1.5T</w:t>
            </w:r>
          </w:p>
        </w:tc>
        <w:tc>
          <w:tcPr>
            <w:tcW w:w="1064" w:type="dxa"/>
          </w:tcPr>
          <w:p w14:paraId="2CA9EF1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SPM99b</w:t>
            </w:r>
          </w:p>
        </w:tc>
        <w:tc>
          <w:tcPr>
            <w:tcW w:w="1377" w:type="dxa"/>
          </w:tcPr>
          <w:p w14:paraId="0E46AD09"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Pcorr</w:t>
            </w:r>
            <w:proofErr w:type="spellEnd"/>
            <w:r w:rsidRPr="00101744">
              <w:rPr>
                <w:rFonts w:ascii="Arial" w:eastAsia="Times New Roman" w:hAnsi="Arial" w:cs="Arial"/>
                <w:color w:val="000000"/>
                <w:sz w:val="18"/>
                <w:szCs w:val="18"/>
                <w:lang w:val="en-US"/>
              </w:rPr>
              <w:t>&lt;0.05</w:t>
            </w:r>
          </w:p>
        </w:tc>
        <w:tc>
          <w:tcPr>
            <w:tcW w:w="663" w:type="dxa"/>
          </w:tcPr>
          <w:p w14:paraId="4868FE0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4000</w:t>
            </w:r>
          </w:p>
        </w:tc>
        <w:tc>
          <w:tcPr>
            <w:tcW w:w="1148" w:type="dxa"/>
          </w:tcPr>
          <w:p w14:paraId="7EE5F82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3.44</w:t>
            </w:r>
          </w:p>
        </w:tc>
      </w:tr>
      <w:tr w:rsidR="003D1F45" w:rsidRPr="00101744" w14:paraId="7B059076" w14:textId="77777777" w:rsidTr="00B60BB2">
        <w:trPr>
          <w:trHeight w:val="300"/>
        </w:trPr>
        <w:tc>
          <w:tcPr>
            <w:tcW w:w="2269" w:type="dxa"/>
            <w:noWrap/>
            <w:hideMark/>
          </w:tcPr>
          <w:p w14:paraId="30B9721A" w14:textId="255E991C"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{"citationItems":[{"id":"ITEM-1","itemData":{"DOI":"10.1093/brain/awm230","ISSN":"0006-8950","PMID":"17906328","abstract":"It is commonly held that losing one sense provokes cross-modal takeover of deprived cortical areas, and therefore results in a benefit for the remaining modalities. Using functional magnetic resonance imaging (fMRI), we assessed the impact of acquired deafness on the brain network related to speechreading and teased apart cortical areas with responses showing long-term reorganization, i.e. time-dependent plasticity over 4-48 months of deafness, from those expressing compensation, i.e. performance-related activity. Nine deaf patients (7 women, age; mean +/- SE. = 50.2 +/- 4.8) and control subjects performed equally well in a visual speechreading task but deaf patients activated the left posterior superior temporal cortex more than controls. This effect correlated with speechreading fluency but not with the duration of sensory deprivation, thus arguing against long-term reorganization as the source of these cross-modal effects. To the contrary, cross-modal activation in the left posterior superior temporal cortex of deaf patients decreased with deafness duration. Our observation that cross-modal effects were most pronounced right after deafness onset is at odds with the classical view on brain reorganization. We suggest that functional compensation of sensory deprivation does not require slowly progressive colonization of superior temporal regions by visual inputs, but can exploit a switch to pre-existing latent multimodal connectivity.","author":[{"dropping-particle":"","family":"Lee","given":"H.-J.","non-dropping-particle":"","parse-names":false,"suffix":""},{"dropping-particle":"","family":"Truy","given":"E.","non-dropping-particle":"","parse-names":false,"suffix":""},{"dropping-particle":"","family":"Mamou","given":"G.","non-dropping-particle":"","parse-names":false,"suffix":""},{"dropping-particle":"","family":"Sappey-Marinier","given":"D.","non-dropping-particle":"","parse-names":false,"suffix":""},{"dropping-particle":"","family":"Giraud","given":"A.-L.","non-dropping-particle":"","parse-names":false,"suffix":""}],"container-title":"Brain","id":"ITEM-1","issue":"11","issued":{"date-parts":[["2007","4","5"]]},"page":"2929-2941","title":"Visual speech circuits in profound acquired deafness: a possible role for latent multimodal connectivity","type":"article-journal","volume":"130"},"uris":["http://www.mendeley.com/documents/?uuid=977e2256-86db-363f-aee5-56873624c062"]}],"mendeley":{"formattedCitation":"(H.-J. Lee et al. 2007)","plainTextFormattedCitation":"(H.-J. Lee et al. 2007)","previouslyFormattedCitation":"&lt;sup&gt;95&lt;/sup&gt;"},"properties":{"noteIndex":0},"schema":"https://github.com/citation-style-language/schema/raw/master/csl-citation.json"}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(H.-J. Lee et al. 2007)</w:t>
            </w:r>
            <w:r w:rsidRPr="00101744">
              <w:rPr>
                <w:rFonts w:ascii="Arial" w:eastAsia="Times New Roman" w:hAnsi="Arial" w:cs="Arial"/>
                <w:color w:val="000000"/>
                <w:sz w:val="18"/>
                <w:szCs w:val="18"/>
                <w:lang w:val="en-US" w:eastAsia="pt-PT"/>
              </w:rPr>
              <w:fldChar w:fldCharType="end"/>
            </w:r>
          </w:p>
        </w:tc>
        <w:tc>
          <w:tcPr>
            <w:tcW w:w="709" w:type="dxa"/>
            <w:noWrap/>
            <w:hideMark/>
          </w:tcPr>
          <w:p w14:paraId="555B2C0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w:t>
            </w:r>
          </w:p>
        </w:tc>
        <w:tc>
          <w:tcPr>
            <w:tcW w:w="709" w:type="dxa"/>
            <w:noWrap/>
            <w:hideMark/>
          </w:tcPr>
          <w:p w14:paraId="25B6026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571" w:type="dxa"/>
            <w:noWrap/>
            <w:hideMark/>
          </w:tcPr>
          <w:p w14:paraId="52872A2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704" w:type="dxa"/>
            <w:noWrap/>
            <w:hideMark/>
          </w:tcPr>
          <w:p w14:paraId="2668A98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32</w:t>
            </w:r>
          </w:p>
        </w:tc>
        <w:tc>
          <w:tcPr>
            <w:tcW w:w="843" w:type="dxa"/>
            <w:noWrap/>
            <w:hideMark/>
          </w:tcPr>
          <w:p w14:paraId="183C82F3"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6478752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Counting</w:t>
            </w:r>
          </w:p>
        </w:tc>
        <w:tc>
          <w:tcPr>
            <w:tcW w:w="708" w:type="dxa"/>
            <w:gridSpan w:val="2"/>
            <w:noWrap/>
            <w:hideMark/>
          </w:tcPr>
          <w:p w14:paraId="7C32261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1710" w:type="dxa"/>
            <w:gridSpan w:val="2"/>
          </w:tcPr>
          <w:p w14:paraId="2AEC158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1.5T Sonata Siemens</w:t>
            </w:r>
          </w:p>
        </w:tc>
        <w:tc>
          <w:tcPr>
            <w:tcW w:w="1064" w:type="dxa"/>
          </w:tcPr>
          <w:p w14:paraId="3E0389E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SPM2</w:t>
            </w:r>
          </w:p>
        </w:tc>
        <w:tc>
          <w:tcPr>
            <w:tcW w:w="1377" w:type="dxa"/>
          </w:tcPr>
          <w:p w14:paraId="28CF42C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P(FWE)&lt;0.05</w:t>
            </w:r>
          </w:p>
        </w:tc>
        <w:tc>
          <w:tcPr>
            <w:tcW w:w="663" w:type="dxa"/>
          </w:tcPr>
          <w:p w14:paraId="3241CBE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2600</w:t>
            </w:r>
          </w:p>
        </w:tc>
        <w:tc>
          <w:tcPr>
            <w:tcW w:w="1148" w:type="dxa"/>
          </w:tcPr>
          <w:p w14:paraId="2137F6D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3.4</w:t>
            </w:r>
          </w:p>
        </w:tc>
      </w:tr>
      <w:tr w:rsidR="003D1F45" w:rsidRPr="00101744" w14:paraId="6072D5B6" w14:textId="77777777" w:rsidTr="00B60BB2">
        <w:trPr>
          <w:trHeight w:val="300"/>
        </w:trPr>
        <w:tc>
          <w:tcPr>
            <w:tcW w:w="2269" w:type="dxa"/>
            <w:noWrap/>
            <w:hideMark/>
          </w:tcPr>
          <w:p w14:paraId="1F83F076" w14:textId="404C0272"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{"citationItems":[{"id":"ITEM-1","itemData":{"DOI":"10.1016/j.neuroimage.2005.11.016","ISSN":"10538119","PMID":"16413795","abstract":"The present functional magnetic resonance imaging (fMRI) study investigates modifications of brain activation patterns related to the training of two different arithmetic operations, multiplication and subtraction. Healthy young adults were trained in five sessions to answer multiplication and subtraction problems. In the following fMRI session, trained and new untrained problems closely matched for difficulty were presented in blocked order. Contrasts between untrained and trained operations showed stronger activation of inferior frontal and parietal regions, especially along the banks of the intraparietal sulcus. The reverse contrasts, trained minus untrained operations, yielded significantly higher activation in the left angular gyrus for multiplication but no significantly activated area for subtraction. This suggests that training leads to a reduction of general purpose processes, such as working memory and executive control in both operations, indicated by the decrease of activation in inferior frontal areas. For multiplication, however, the increase of activation in the left angular gyrus indicates a switching of cognitive processes. Trained subtraction therefore seems to lead to faster and more efficient strategies, while trained multiplication showed a shift from quantity-based processing (supported by the areas along the intraparietal sulci) to more automatic retrieval (supported by the left angular gyrus). The same training method caused changes in brain activation patterns that depended on the given operation. The effects of learning on the brain therefore seem not only to depend on the method of learning but also on it</w:instrText>
            </w:r>
            <w:r w:rsidR="00C14016" w:rsidRPr="00C14016">
              <w:rPr>
                <w:rFonts w:ascii="Arial" w:hAnsi="Arial" w:cs="Arial"/>
                <w:color w:val="000000"/>
                <w:sz w:val="18"/>
                <w:szCs w:val="18"/>
                <w:lang w:val="en-GB" w:eastAsia="pt-PT"/>
              </w:rPr>
              <w:instrText>s content.","author":[{"dropping-particle":"","family":"Ischebeck","given":"Anja","non-dropping-particle":"","parse-names":false,"suffix":""},{"dropping-particle":"","family":"Zamarian","given":"Laura","non-dropping-particle":"","parse-names":false,"suffix":""},{"dropping-particle":"","family":"Siedentopf","given":"Christian","non-dropping-particle":"","parse-names":false,"suffix":""},{"dropping-particle":"","family":"Koppelstätter","given":"Florian","non-dropping-particle":"","parse-names":false,"suffix":""},{"dropping-particle":"","family":"Benke","given":"Thomas","non-dropping-particle":"","parse-names":false,"suffix":""},{"dropping-particle":"","family":"Felber","given":"Stefan","non-dropping-particle":"","parse-names":false,"suffix":""},{"dropping-particle":"","family":"Delazer","given":"Margarete","non-dropping-particle":"","parse-names":false,"suffix":""}],"container-title":"NeuroImage","id":"ITEM-1","issue":"4","issued":{"date-parts":[["2006","5","1"]]},"page":"1365-1375","title":"How specifically do we learn? Imaging the learning of multiplication and subtraction","type":"article-journal","volume":"30"},"uris":["http://www.mendeley.com/documents/?uuid=e07e4c9d-bc42-38d8-9dd1-75a8206d0089"]}],"mendeley":{"formattedCitation":"(Ischebeck et al. 2006)","plainTextFormattedCitation":"(Ischebeck et al. 2006)","previouslyFormattedCitation":"&lt;sup&gt;96&lt;/sup&gt;"},"properties":{"noteIndex":0},"schema":"https://github.com/citation-style-language/schema/raw/master/csl-citation.json"}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(Ischebeck et al. 2006)</w:t>
            </w:r>
            <w:r w:rsidRPr="00101744">
              <w:rPr>
                <w:rFonts w:ascii="Arial" w:eastAsia="Times New Roman" w:hAnsi="Arial" w:cs="Arial"/>
                <w:color w:val="000000"/>
                <w:sz w:val="18"/>
                <w:szCs w:val="18"/>
                <w:lang w:val="en-US" w:eastAsia="pt-PT"/>
              </w:rPr>
              <w:fldChar w:fldCharType="end"/>
            </w:r>
          </w:p>
        </w:tc>
        <w:tc>
          <w:tcPr>
            <w:tcW w:w="709" w:type="dxa"/>
            <w:noWrap/>
            <w:hideMark/>
          </w:tcPr>
          <w:p w14:paraId="23ACA06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12</w:t>
            </w:r>
          </w:p>
        </w:tc>
        <w:tc>
          <w:tcPr>
            <w:tcW w:w="709" w:type="dxa"/>
            <w:noWrap/>
            <w:hideMark/>
          </w:tcPr>
          <w:p w14:paraId="3093735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w:t>
            </w:r>
          </w:p>
        </w:tc>
        <w:tc>
          <w:tcPr>
            <w:tcW w:w="571" w:type="dxa"/>
            <w:noWrap/>
            <w:hideMark/>
          </w:tcPr>
          <w:p w14:paraId="23BC2F6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704" w:type="dxa"/>
            <w:noWrap/>
            <w:hideMark/>
          </w:tcPr>
          <w:p w14:paraId="0573BD7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27</w:t>
            </w:r>
          </w:p>
        </w:tc>
        <w:tc>
          <w:tcPr>
            <w:tcW w:w="843" w:type="dxa"/>
            <w:noWrap/>
            <w:hideMark/>
          </w:tcPr>
          <w:p w14:paraId="443759EA"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1A8132E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 (Multiplication and subtraction)</w:t>
            </w:r>
          </w:p>
        </w:tc>
        <w:tc>
          <w:tcPr>
            <w:tcW w:w="708" w:type="dxa"/>
            <w:gridSpan w:val="2"/>
            <w:noWrap/>
            <w:hideMark/>
          </w:tcPr>
          <w:p w14:paraId="6989EFE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60</w:t>
            </w:r>
          </w:p>
        </w:tc>
        <w:tc>
          <w:tcPr>
            <w:tcW w:w="1710" w:type="dxa"/>
            <w:gridSpan w:val="2"/>
          </w:tcPr>
          <w:p w14:paraId="6BC4542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1.5T Sonata Siemens</w:t>
            </w:r>
          </w:p>
        </w:tc>
        <w:tc>
          <w:tcPr>
            <w:tcW w:w="1064" w:type="dxa"/>
          </w:tcPr>
          <w:p w14:paraId="65DDCFC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SPM2</w:t>
            </w:r>
          </w:p>
        </w:tc>
        <w:tc>
          <w:tcPr>
            <w:tcW w:w="1377" w:type="dxa"/>
          </w:tcPr>
          <w:p w14:paraId="0978331A"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Pcluster</w:t>
            </w:r>
            <w:proofErr w:type="spellEnd"/>
            <w:r w:rsidRPr="00101744">
              <w:rPr>
                <w:rFonts w:ascii="Arial" w:eastAsia="Times New Roman" w:hAnsi="Arial" w:cs="Arial"/>
                <w:color w:val="000000"/>
                <w:sz w:val="18"/>
                <w:szCs w:val="18"/>
                <w:lang w:val="en-US"/>
              </w:rPr>
              <w:t>&lt;0.05</w:t>
            </w:r>
          </w:p>
        </w:tc>
        <w:tc>
          <w:tcPr>
            <w:tcW w:w="663" w:type="dxa"/>
          </w:tcPr>
          <w:p w14:paraId="634D15F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3000</w:t>
            </w:r>
          </w:p>
        </w:tc>
        <w:tc>
          <w:tcPr>
            <w:tcW w:w="1148" w:type="dxa"/>
          </w:tcPr>
          <w:p w14:paraId="1F50239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w:t>
            </w:r>
          </w:p>
        </w:tc>
      </w:tr>
      <w:tr w:rsidR="003D1F45" w:rsidRPr="00101744" w14:paraId="53AF4BBD" w14:textId="77777777" w:rsidTr="00B60BB2">
        <w:trPr>
          <w:trHeight w:val="300"/>
        </w:trPr>
        <w:tc>
          <w:tcPr>
            <w:tcW w:w="2269" w:type="dxa"/>
            <w:noWrap/>
            <w:hideMark/>
          </w:tcPr>
          <w:p w14:paraId="307D903E" w14:textId="5C9DFCF1"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{"citationItems":[{"id":"ITEM-1","itemData":{"DOI":"10.1016/j.cogbrainres.2003.12.009","ISSN":"0926-6410","PMID":"15130588","abstract":"This study aimed to identify the neural basis of probabilistic reasoning, a type of inductive inference that aids decision making under conditions of uncertainty. Eight normal subjects performed two separate two-alternative-choice tasks (the balls in a bottle and personality survey tasks) while undergoing functional magnetic resonance imaging (fMRI). The experimental conditions within each task were chosen so that they differed only in their requirement to make a decision under conditions of uncertainty (probabilistic reasoning and frequency determination required) or under conditions of certainty (frequency determination required). The same visual stimuli and motor responses were used in the experimental conditions. We provide evidence that the neo-cerebellum, in conjunction with the premotor cortex, inferior parietal lobule and medial occipital cortex, mediates the probabilistic inferences that guide decision making under uncertainty. We hypothesise that the neo-cerebellum constructs internal working models of uncertain events in the external world, and that such probabilistic models subserve the predictive capacity central to induction.","author":[{"dropping-particle":"","family":"Blackwood"</w:instrText>
            </w:r>
            <w:r w:rsidR="00C14016">
              <w:rPr>
                <w:rFonts w:ascii="Arial" w:hAnsi="Arial" w:cs="Arial"/>
                <w:color w:val="000000"/>
                <w:sz w:val="18"/>
                <w:szCs w:val="18"/>
                <w:lang w:eastAsia="pt-PT"/>
              </w:rPr>
              <w:instrText>,"given":"Nigel","non-dropping-particle":"","parse-names":false,"suffix":""},{"dropping-particle":"","family":"Ffytche","given":"Dominic","non-dropping-particle":"","parse-names":false,"suffix":""},{"dropping-particle":"","family":"Simmons","given":"Andrew","non-dropping-particle":"","parse-names":false,"suffix":""},{"dropping-particle":"","family":"Bentall","given":"Richard","non-dropping-particle":"","parse-names":false,"suffix":""},{"dropping-particle":"","family":"Murray","given":"Robin","non-dropping-particle":"","parse-names":false,"suffix":""},{"dropping-particle":"","family":"Howard","given":"Robert","non-dropping-particle":"","parse-names":false,"suffix":""}],"container-title":"Brain research. Cognitive brain research","id":"ITEM-1","issue":"1","issued":{"date-parts":[["2004","6"]]},"page":"46-53","title":"The cerebellum and decision making under uncertainty.","type":"article-journal","volume":"20"},"uris":["http://www.mendeley.com/documents/?uuid=dc45368a-04d7-48a8-b11c-8eba29245f1e"]}],"mendeley":{"formattedCitation":"(Blackwood et al. 2004)","plainTextFormattedCitation":"(Blackwood et al. 2004)","previouslyFormattedCitation":"&lt;sup&gt;97&lt;/sup&gt;"},"properties":{"noteIndex":0},"schema":"https://github.com/citation-style-language/schema/raw/master/csl-citation.json"}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(Blackwood et al. 2004)</w:t>
            </w:r>
            <w:r w:rsidRPr="00101744">
              <w:rPr>
                <w:rFonts w:ascii="Arial" w:eastAsia="Times New Roman" w:hAnsi="Arial" w:cs="Arial"/>
                <w:color w:val="000000"/>
                <w:sz w:val="18"/>
                <w:szCs w:val="18"/>
                <w:lang w:val="en-US" w:eastAsia="pt-PT"/>
              </w:rPr>
              <w:fldChar w:fldCharType="end"/>
            </w:r>
          </w:p>
        </w:tc>
        <w:tc>
          <w:tcPr>
            <w:tcW w:w="709" w:type="dxa"/>
            <w:noWrap/>
            <w:hideMark/>
          </w:tcPr>
          <w:p w14:paraId="5C136E4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709" w:type="dxa"/>
            <w:noWrap/>
            <w:hideMark/>
          </w:tcPr>
          <w:p w14:paraId="707B0FE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571" w:type="dxa"/>
            <w:noWrap/>
            <w:hideMark/>
          </w:tcPr>
          <w:p w14:paraId="3C1F11C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0</w:t>
            </w:r>
          </w:p>
        </w:tc>
        <w:tc>
          <w:tcPr>
            <w:tcW w:w="704" w:type="dxa"/>
            <w:noWrap/>
            <w:hideMark/>
          </w:tcPr>
          <w:p w14:paraId="0EF8C8F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38</w:t>
            </w:r>
          </w:p>
        </w:tc>
        <w:tc>
          <w:tcPr>
            <w:tcW w:w="843" w:type="dxa"/>
            <w:noWrap/>
            <w:hideMark/>
          </w:tcPr>
          <w:p w14:paraId="794394B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18-53</w:t>
            </w:r>
          </w:p>
        </w:tc>
        <w:tc>
          <w:tcPr>
            <w:tcW w:w="2268" w:type="dxa"/>
            <w:gridSpan w:val="2"/>
            <w:noWrap/>
            <w:hideMark/>
          </w:tcPr>
          <w:p w14:paraId="30ADCFA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Counting</w:t>
            </w:r>
          </w:p>
        </w:tc>
        <w:tc>
          <w:tcPr>
            <w:tcW w:w="708" w:type="dxa"/>
            <w:gridSpan w:val="2"/>
            <w:noWrap/>
            <w:hideMark/>
          </w:tcPr>
          <w:p w14:paraId="170528E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1710" w:type="dxa"/>
            <w:gridSpan w:val="2"/>
          </w:tcPr>
          <w:p w14:paraId="3BFE952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1.5T </w:t>
            </w:r>
            <w:proofErr w:type="spellStart"/>
            <w:r w:rsidRPr="00101744">
              <w:rPr>
                <w:rFonts w:ascii="Arial" w:eastAsia="Times New Roman" w:hAnsi="Arial" w:cs="Arial"/>
                <w:color w:val="000000"/>
                <w:sz w:val="18"/>
                <w:szCs w:val="18"/>
                <w:lang w:val="en-US"/>
              </w:rPr>
              <w:t>Signa</w:t>
            </w:r>
            <w:proofErr w:type="spellEnd"/>
            <w:r w:rsidRPr="00101744">
              <w:rPr>
                <w:rFonts w:ascii="Arial" w:eastAsia="Times New Roman" w:hAnsi="Arial" w:cs="Arial"/>
                <w:color w:val="000000"/>
                <w:sz w:val="18"/>
                <w:szCs w:val="18"/>
                <w:lang w:val="en-US"/>
              </w:rPr>
              <w:t xml:space="preserve"> GE</w:t>
            </w:r>
          </w:p>
        </w:tc>
        <w:tc>
          <w:tcPr>
            <w:tcW w:w="1064" w:type="dxa"/>
          </w:tcPr>
          <w:p w14:paraId="30AC1F2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SPM99</w:t>
            </w:r>
          </w:p>
        </w:tc>
        <w:tc>
          <w:tcPr>
            <w:tcW w:w="1377" w:type="dxa"/>
          </w:tcPr>
          <w:p w14:paraId="5634FBC8"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Pcorr</w:t>
            </w:r>
            <w:proofErr w:type="spellEnd"/>
            <w:r w:rsidRPr="00101744">
              <w:rPr>
                <w:rFonts w:ascii="Arial" w:eastAsia="Times New Roman" w:hAnsi="Arial" w:cs="Arial"/>
                <w:color w:val="000000"/>
                <w:sz w:val="18"/>
                <w:szCs w:val="18"/>
                <w:lang w:val="en-US"/>
              </w:rPr>
              <w:t>&lt;0.05</w:t>
            </w:r>
          </w:p>
        </w:tc>
        <w:tc>
          <w:tcPr>
            <w:tcW w:w="663" w:type="dxa"/>
          </w:tcPr>
          <w:p w14:paraId="49ABF9D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3000</w:t>
            </w:r>
          </w:p>
        </w:tc>
        <w:tc>
          <w:tcPr>
            <w:tcW w:w="1148" w:type="dxa"/>
          </w:tcPr>
          <w:p w14:paraId="659D03F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3.75</w:t>
            </w:r>
          </w:p>
        </w:tc>
      </w:tr>
      <w:tr w:rsidR="003D1F45" w:rsidRPr="00101744" w14:paraId="481DA51F" w14:textId="77777777" w:rsidTr="00B60BB2">
        <w:trPr>
          <w:trHeight w:val="300"/>
        </w:trPr>
        <w:tc>
          <w:tcPr>
            <w:tcW w:w="2269" w:type="dxa"/>
            <w:noWrap/>
            <w:hideMark/>
          </w:tcPr>
          <w:p w14:paraId="06F98667" w14:textId="03B21633"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{"citationItems":[{"id":"ITEM-1","itemData":{"DOI":"10.1002/hbm.10048","ISSN":"1065-9471","PMID":"12112763","abstract":"Arithmetic processing deficits in persons with fragile X Syndrome (fraX), the most common heritable cause of mental retardation, are well known. In this study, we characterize the neural underpinnings of these performance deficits using functional MRI. Given that a single gene defect (FMR1) is known to be responsible for this disorder, we also assess whether brain activation in arithmetic processing areas is related to amount of FMR1 protein expression (FMRP). Subjects included 16 females with fraX, and 16 female age-matched controls. Subjects viewed arithmetic equations with two (1 + 3 = 4) or three (2 + 3 - 1 = 5) operands, and were asked to judge whether the results were correct or not. Subjects with fraX showed significant impairment in behavioral performance on the 3-operand but not the 2-operand arithmetic equations. Significant brain activation was observed bilaterally in the prefrontal and parietal cortices for unaffected subjects, and bilateral prefrontal and left angular gyrus for subjects with fraX, for both trial types. Subjects with fraX exhibited less overall activation than did unaffected subjects in both types of trials; and, unlike the unaffected group, did not show increased extent of activation in association with greater task difficulty. During the 3-operand trials, activation in bilateral prefrontal and motor/premotor, and left supramarginal and angular gyri were positively correlated with FMRP, suggesting that decreased FMR1 protein expression underlies deficits in math performance in pers</w:instrText>
            </w:r>
            <w:r w:rsidR="00C14016" w:rsidRPr="00C14016">
              <w:rPr>
                <w:rFonts w:ascii="Arial" w:hAnsi="Arial" w:cs="Arial"/>
                <w:color w:val="000000"/>
                <w:sz w:val="18"/>
                <w:szCs w:val="18"/>
                <w:lang w:val="en-GB" w:eastAsia="pt-PT"/>
              </w:rPr>
              <w:instrText>ons with fraX. More broadly, this investigation demonstrates a unique bridging of cognitive and molecular neuroscience and represents a useful approach for the study of brain development and function.","author":[{"dropping-particle":"","family":"Rivera","given":"Susan M.","non-dropping-particle":"","parse-names":false,"suffix":""},{"dropping-particle":"","family":"Menon","given":"Vinod","non-dropping-particle":"","parse-names":false,"suffix":""},{"dropping-particle":"","family":"White","given":"Christopher D.","non-dropping-particle":"","parse-names":false,"suffix":""},{"dropping-particle":"","family":"Glaser","given":"Bronwyn","non-dropping-particle":"","parse-names":false,"suffix":""},{"dropping-particle":"","family":"Reiss","given":"Allan L.","non-dropping-particle":"","parse-names":false,"suffix":""}],"container-title":"Human Brain Mapping","id":"ITEM-1","issue":"4","issued":{"date-parts":[["2002","8"]]},"page":"206-218","title":"Functional brain activation during arithmetic processing in females with fragile X syndrome is related toFMR1 protein expression","type":"article-journal","volume":"16"},"uris":["http://www.mendeley.com/documents/?uuid=96752d5e-a5e9-30db-ae5a-2e4e698323a5"]}],"mendeley":{"formattedCitation":"(Susan M. Rivera et al. 2002)","plainTextFormattedCitation":"(Susan M. Rivera et al. 2002)","previouslyFormattedCitation":"&lt;sup&gt;98&lt;/sup&gt;"},"properties":{"noteIndex":0},"schema":"https://github.com/citation-style-language/schema/raw/master/csl-citation.json"}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(Susan M. Rivera et al. 2002)</w:t>
            </w:r>
            <w:r w:rsidRPr="00101744">
              <w:rPr>
                <w:rFonts w:ascii="Arial" w:eastAsia="Times New Roman" w:hAnsi="Arial" w:cs="Arial"/>
                <w:color w:val="000000"/>
                <w:sz w:val="18"/>
                <w:szCs w:val="18"/>
                <w:lang w:val="en-US" w:eastAsia="pt-PT"/>
              </w:rPr>
              <w:fldChar w:fldCharType="end"/>
            </w:r>
          </w:p>
        </w:tc>
        <w:tc>
          <w:tcPr>
            <w:tcW w:w="709" w:type="dxa"/>
            <w:noWrap/>
            <w:hideMark/>
          </w:tcPr>
          <w:p w14:paraId="2DA5D0B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16</w:t>
            </w:r>
          </w:p>
        </w:tc>
        <w:tc>
          <w:tcPr>
            <w:tcW w:w="709" w:type="dxa"/>
            <w:noWrap/>
            <w:hideMark/>
          </w:tcPr>
          <w:p w14:paraId="4D45F31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0</w:t>
            </w:r>
          </w:p>
        </w:tc>
        <w:tc>
          <w:tcPr>
            <w:tcW w:w="571" w:type="dxa"/>
            <w:noWrap/>
            <w:hideMark/>
          </w:tcPr>
          <w:p w14:paraId="0F8CCDE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16</w:t>
            </w:r>
          </w:p>
        </w:tc>
        <w:tc>
          <w:tcPr>
            <w:tcW w:w="704" w:type="dxa"/>
            <w:noWrap/>
            <w:hideMark/>
          </w:tcPr>
          <w:p w14:paraId="27C397A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17</w:t>
            </w:r>
          </w:p>
        </w:tc>
        <w:tc>
          <w:tcPr>
            <w:tcW w:w="843" w:type="dxa"/>
            <w:noWrap/>
            <w:hideMark/>
          </w:tcPr>
          <w:p w14:paraId="159E4DE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11-23</w:t>
            </w:r>
          </w:p>
        </w:tc>
        <w:tc>
          <w:tcPr>
            <w:tcW w:w="2268" w:type="dxa"/>
            <w:gridSpan w:val="2"/>
            <w:noWrap/>
            <w:hideMark/>
          </w:tcPr>
          <w:p w14:paraId="751FFF3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Arithmetic operations</w:t>
            </w:r>
          </w:p>
        </w:tc>
        <w:tc>
          <w:tcPr>
            <w:tcW w:w="708" w:type="dxa"/>
            <w:gridSpan w:val="2"/>
            <w:noWrap/>
            <w:hideMark/>
          </w:tcPr>
          <w:p w14:paraId="678DFE4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21</w:t>
            </w:r>
          </w:p>
        </w:tc>
        <w:tc>
          <w:tcPr>
            <w:tcW w:w="1710" w:type="dxa"/>
            <w:gridSpan w:val="2"/>
          </w:tcPr>
          <w:p w14:paraId="4D61A16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1.5T </w:t>
            </w:r>
            <w:proofErr w:type="spellStart"/>
            <w:r w:rsidRPr="00101744">
              <w:rPr>
                <w:rFonts w:ascii="Arial" w:eastAsia="Times New Roman" w:hAnsi="Arial" w:cs="Arial"/>
                <w:color w:val="000000"/>
                <w:sz w:val="18"/>
                <w:szCs w:val="18"/>
                <w:lang w:val="en-US"/>
              </w:rPr>
              <w:t>Signa</w:t>
            </w:r>
            <w:proofErr w:type="spellEnd"/>
            <w:r w:rsidRPr="00101744">
              <w:rPr>
                <w:rFonts w:ascii="Arial" w:eastAsia="Times New Roman" w:hAnsi="Arial" w:cs="Arial"/>
                <w:color w:val="000000"/>
                <w:sz w:val="18"/>
                <w:szCs w:val="18"/>
                <w:lang w:val="en-US"/>
              </w:rPr>
              <w:t xml:space="preserve"> GE</w:t>
            </w:r>
          </w:p>
        </w:tc>
        <w:tc>
          <w:tcPr>
            <w:tcW w:w="1064" w:type="dxa"/>
          </w:tcPr>
          <w:p w14:paraId="357A70B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SPM99</w:t>
            </w:r>
          </w:p>
        </w:tc>
        <w:tc>
          <w:tcPr>
            <w:tcW w:w="1377" w:type="dxa"/>
          </w:tcPr>
          <w:p w14:paraId="35431D6F"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Pcorr</w:t>
            </w:r>
            <w:proofErr w:type="spellEnd"/>
            <w:r w:rsidRPr="00101744">
              <w:rPr>
                <w:rFonts w:ascii="Arial" w:eastAsia="Times New Roman" w:hAnsi="Arial" w:cs="Arial"/>
                <w:color w:val="000000"/>
                <w:sz w:val="18"/>
                <w:szCs w:val="18"/>
                <w:lang w:val="en-US"/>
              </w:rPr>
              <w:t>&lt;0.05</w:t>
            </w:r>
          </w:p>
        </w:tc>
        <w:tc>
          <w:tcPr>
            <w:tcW w:w="663" w:type="dxa"/>
          </w:tcPr>
          <w:p w14:paraId="6ACCF5F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5404682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3.75</w:t>
            </w:r>
          </w:p>
        </w:tc>
      </w:tr>
      <w:tr w:rsidR="003D1F45" w:rsidRPr="00101744" w14:paraId="7742B78A" w14:textId="77777777" w:rsidTr="00B60BB2">
        <w:trPr>
          <w:trHeight w:val="300"/>
        </w:trPr>
        <w:tc>
          <w:tcPr>
            <w:tcW w:w="2269" w:type="dxa"/>
            <w:noWrap/>
            <w:hideMark/>
          </w:tcPr>
          <w:p w14:paraId="34546C21" w14:textId="7CC5E288"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{"citationItems":[{"id":"ITEM-1","itemData":{"DOI":"10.1016/j.brainres.2011.06.053","ISSN":"00068993","PMID":"21782157","abstract":"It has long been thought that word problems are more difficult to solve than number/equation problems. However, recent findings have begun to bring this broadly believed idea into question. The current study examined the processing differences between these two types of problems. The behavioral results presented here failed to show an overwhelming advantage for number problems. In fact, there were more errors for the number problems than the word problems. The neuroimaging results reported demonstrate that there is significant overlap in the processing of what, on the surface, appears to be completely different problems that elicit different problem-solving strategies. Word and number problems rely on a general network responsible for problem-solving that includes the superior posterior parietal cortex, the horizontal segment of the intraparietal sulcus which is hypothesized to be involved in problem representation and calculation as well as the regions that have been linked to executive aspects of working memory such as the pre-SMA and basal ganglia. While overlap was observed, significant differences were also found primarily in language processing regions such as Broca's and Wernicke's areas for the word proble</w:instrText>
            </w:r>
            <w:r w:rsidR="00C14016">
              <w:rPr>
                <w:rFonts w:ascii="Arial" w:hAnsi="Arial" w:cs="Arial"/>
                <w:color w:val="000000"/>
                <w:sz w:val="18"/>
                <w:szCs w:val="18"/>
                <w:lang w:eastAsia="pt-PT"/>
              </w:rPr>
              <w:instrText>ms and the horizontal segment of the intraparietal sulcus for the number problems.","author":[{"dropping-particle":"","family":"Newman","given":"Sharlene D.","non-dropping-particle":"","parse-names":false,"suffix":""},{"dropping-particle":"","family":"Willoughby","given":"Gregory","non-dropping-particle":"","parse-names":false,"suffix":""},{"dropping-particle":"","family":"Pruce","given":"Benjamin","non-dropping-particle":"","parse-names":false,"suffix":""}],"container-title":"Brain Research","id":"ITEM-1","issued":{"date-parts":[["2011","9","2"]]},"page":"77-88","title":"The effect of problem structure on problem-solving: An fMRI study of word versus number problems","type":"article-journal","volume":"1410"},"uris":["http://www.mendeley.com/documents/?uuid=e676bfd5-3b31-3780-ba27-c220d984b7f6"]}],"mendeley":{"formattedCitation":"(Newman, Willoughby, and Pruce 2011)","plainTextFormattedCitation":"(Newman, Willoughby, and Pruce 2011)","previouslyFormattedCitation":"&lt;sup&gt;99&lt;/sup&gt;"},"properties":{"noteIndex":0},"schema":"https://github.com/citation-style-language/schema/raw/master/csl-citation.json"}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(Newman, Willoughby, and Pruce 2011)</w:t>
            </w:r>
            <w:r w:rsidRPr="00101744">
              <w:rPr>
                <w:rFonts w:ascii="Arial" w:eastAsia="Times New Roman" w:hAnsi="Arial" w:cs="Arial"/>
                <w:color w:val="000000"/>
                <w:sz w:val="18"/>
                <w:szCs w:val="18"/>
                <w:lang w:val="en-US" w:eastAsia="pt-PT"/>
              </w:rPr>
              <w:fldChar w:fldCharType="end"/>
            </w:r>
          </w:p>
        </w:tc>
        <w:tc>
          <w:tcPr>
            <w:tcW w:w="709" w:type="dxa"/>
            <w:noWrap/>
            <w:hideMark/>
          </w:tcPr>
          <w:p w14:paraId="25C50DF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w:t>
            </w:r>
          </w:p>
        </w:tc>
        <w:tc>
          <w:tcPr>
            <w:tcW w:w="709" w:type="dxa"/>
            <w:noWrap/>
            <w:hideMark/>
          </w:tcPr>
          <w:p w14:paraId="13B5D71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571" w:type="dxa"/>
            <w:noWrap/>
            <w:hideMark/>
          </w:tcPr>
          <w:p w14:paraId="4209215D" w14:textId="77777777" w:rsidR="003D1F45" w:rsidRPr="00101744" w:rsidRDefault="003D1F45" w:rsidP="00B60BB2">
            <w:pPr>
              <w:jc w:val="center"/>
              <w:rPr>
                <w:rFonts w:ascii="Arial" w:eastAsia="Times New Roman" w:hAnsi="Arial" w:cs="Arial"/>
                <w:sz w:val="18"/>
                <w:szCs w:val="18"/>
                <w:lang w:val="en-US" w:eastAsia="pt-PT"/>
              </w:rPr>
            </w:pPr>
            <w:r w:rsidRPr="00101744">
              <w:rPr>
                <w:rFonts w:ascii="Arial" w:eastAsia="Times New Roman" w:hAnsi="Arial" w:cs="Arial"/>
                <w:color w:val="000000"/>
                <w:sz w:val="18"/>
                <w:szCs w:val="18"/>
                <w:lang w:val="en-US"/>
              </w:rPr>
              <w:t>9</w:t>
            </w:r>
          </w:p>
        </w:tc>
        <w:tc>
          <w:tcPr>
            <w:tcW w:w="704" w:type="dxa"/>
            <w:noWrap/>
            <w:hideMark/>
          </w:tcPr>
          <w:p w14:paraId="7351B35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22</w:t>
            </w:r>
          </w:p>
        </w:tc>
        <w:tc>
          <w:tcPr>
            <w:tcW w:w="843" w:type="dxa"/>
            <w:noWrap/>
            <w:hideMark/>
          </w:tcPr>
          <w:p w14:paraId="205AFB0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18-31</w:t>
            </w:r>
          </w:p>
        </w:tc>
        <w:tc>
          <w:tcPr>
            <w:tcW w:w="2268" w:type="dxa"/>
            <w:gridSpan w:val="2"/>
            <w:noWrap/>
            <w:hideMark/>
          </w:tcPr>
          <w:p w14:paraId="5D5D52A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Arithmetic operations</w:t>
            </w:r>
          </w:p>
        </w:tc>
        <w:tc>
          <w:tcPr>
            <w:tcW w:w="708" w:type="dxa"/>
            <w:gridSpan w:val="2"/>
            <w:noWrap/>
            <w:hideMark/>
          </w:tcPr>
          <w:p w14:paraId="6039787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41</w:t>
            </w:r>
          </w:p>
        </w:tc>
        <w:tc>
          <w:tcPr>
            <w:tcW w:w="1710" w:type="dxa"/>
            <w:gridSpan w:val="2"/>
          </w:tcPr>
          <w:p w14:paraId="17D00B6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Tim Trio Siemens</w:t>
            </w:r>
          </w:p>
        </w:tc>
        <w:tc>
          <w:tcPr>
            <w:tcW w:w="1064" w:type="dxa"/>
          </w:tcPr>
          <w:p w14:paraId="23517C6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SPM5</w:t>
            </w:r>
          </w:p>
        </w:tc>
        <w:tc>
          <w:tcPr>
            <w:tcW w:w="1377" w:type="dxa"/>
          </w:tcPr>
          <w:p w14:paraId="081D5D8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P(FWE)&lt;0.05</w:t>
            </w:r>
          </w:p>
        </w:tc>
        <w:tc>
          <w:tcPr>
            <w:tcW w:w="663" w:type="dxa"/>
          </w:tcPr>
          <w:p w14:paraId="699A823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1000</w:t>
            </w:r>
          </w:p>
        </w:tc>
        <w:tc>
          <w:tcPr>
            <w:tcW w:w="1148" w:type="dxa"/>
          </w:tcPr>
          <w:p w14:paraId="6781BD2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3.125</w:t>
            </w:r>
          </w:p>
        </w:tc>
      </w:tr>
      <w:tr w:rsidR="003D1F45" w:rsidRPr="00101744" w14:paraId="697BBEC3" w14:textId="77777777" w:rsidTr="00B60BB2">
        <w:trPr>
          <w:trHeight w:val="300"/>
        </w:trPr>
        <w:tc>
          <w:tcPr>
            <w:tcW w:w="2269" w:type="dxa"/>
            <w:noWrap/>
            <w:hideMark/>
          </w:tcPr>
          <w:p w14:paraId="55882DAE" w14:textId="077169DB"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{"citationItems":[{"id":"ITEM-1","itemData":{"DOI":"10.1016/j.neuroimage.2007.07.041","ISBN":"1053-8119","ISSN":"10538119","PMID":"17851092","abstract":"Functional neuroimaging studies have revealed that parietal brain circuits subserve arithmetic problem solving and that their recruitment dynamically changes as a function of training and development. The present study investigated whether the brain activation during mental calculation is also modulated by individual differences in mathematical competence. Twenty-five adult students were selected from a larger pool based on their performance on standardized tests of intelligence and arithmetic and divided into groups of individuals with relatively lower and higher mathematical competence. These groups did not differ in their non-numerical intelligence or age. In an fMRI block-design, participants had to verify the correctness of single-digit and multi-digit multiplication problems. Analyses revealed that the individuals with higher mathematical competence displayed stronger activation of the left angular gyrus while solving both types of arithmetic problems. Additional correlational analyses corroborated the association between individual differences in mathematical competence and angular gyrus activation, even when variability in task performance was controlled for. These findings demonstrate that the recruitment of the left angular gyrus during arithmetic problem solving underlies individual differences in mathematical ability and suggests a stronger r</w:instrText>
            </w:r>
            <w:r w:rsidR="00C14016" w:rsidRPr="00C14016">
              <w:rPr>
                <w:rFonts w:ascii="Arial" w:hAnsi="Arial" w:cs="Arial"/>
                <w:color w:val="000000"/>
                <w:sz w:val="18"/>
                <w:szCs w:val="18"/>
                <w:lang w:val="en-GB" w:eastAsia="pt-PT"/>
              </w:rPr>
              <w:instrText>eliance on automatic, language-mediated processes in more competent individuals. © 2007 Elsevier Inc. All rights reserved.","author":[{"dropping-particle":"","family":"Grabner","given":"Roland H.","non-dropping-particle":"","parse-names":false,"suffix":""},{"dropping-particle":"","family":"Ansari","given":"Daniel","non-dropping-particle":"","parse-names":false,"suffix":""},{"dropping-particle":"","family":"Reishofer","given":"Gernot","non-dropping-particle":"","parse-names":false,"suffix":""},{"dropping-particle":"","family":"Stern","given":"Elsbeth","non-dropping-particle":"","parse-names":false,"suffix":""},{"dropping-particle":"","family":"Ebner","given":"Franz","non-dropping-particle":"","parse-names":false,"suffix":""},{"dropping-particle":"","family":"Neuper","given":"Christa","non-dropping-particle":"","parse-names":false,"suffix":""}],"container-title":"NeuroImage","id":"ITEM-1","issue":"2","issued":{"date-parts":[["2007","11","1"]]},"page":"346-356","title":"Individual differences in mathematical competence predict parietal brain activation during mental calculation","type":"article-journal","volume":"38"},"uris":["http://www.mendeley.com/documents/?uuid=78467475-3141-49ef-8715-0c1bedc43217"]}],"mendeley":{"formattedCitation":"(Grabner et al. 2007)","plainTextFormattedCitation":"(Grabner et al. 2007)","previouslyFormattedCitation":"&lt;sup&gt;100&lt;/sup&gt;"},"properties":{"noteIndex":0},"schema":"https://github.com/citation-style-language/schema/raw/master/csl-citation.json"}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(Grabner et al. 2007)</w:t>
            </w:r>
            <w:r w:rsidRPr="00101744">
              <w:rPr>
                <w:rFonts w:ascii="Arial" w:eastAsia="Times New Roman" w:hAnsi="Arial" w:cs="Arial"/>
                <w:color w:val="000000"/>
                <w:sz w:val="18"/>
                <w:szCs w:val="18"/>
                <w:lang w:val="en-US" w:eastAsia="pt-PT"/>
              </w:rPr>
              <w:fldChar w:fldCharType="end"/>
            </w:r>
          </w:p>
        </w:tc>
        <w:tc>
          <w:tcPr>
            <w:tcW w:w="709" w:type="dxa"/>
            <w:noWrap/>
            <w:hideMark/>
          </w:tcPr>
          <w:p w14:paraId="644D527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12</w:t>
            </w:r>
          </w:p>
        </w:tc>
        <w:tc>
          <w:tcPr>
            <w:tcW w:w="709" w:type="dxa"/>
            <w:noWrap/>
            <w:hideMark/>
          </w:tcPr>
          <w:p w14:paraId="05625CEE"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571" w:type="dxa"/>
            <w:noWrap/>
            <w:hideMark/>
          </w:tcPr>
          <w:p w14:paraId="2993CFEF" w14:textId="77777777" w:rsidR="003D1F45" w:rsidRPr="00101744" w:rsidRDefault="003D1F45" w:rsidP="00B60BB2">
            <w:pPr>
              <w:jc w:val="center"/>
              <w:rPr>
                <w:rFonts w:ascii="Arial" w:eastAsia="Times New Roman" w:hAnsi="Arial" w:cs="Arial"/>
                <w:sz w:val="18"/>
                <w:szCs w:val="18"/>
                <w:lang w:val="en-US" w:eastAsia="pt-PT"/>
              </w:rPr>
            </w:pPr>
          </w:p>
        </w:tc>
        <w:tc>
          <w:tcPr>
            <w:tcW w:w="704" w:type="dxa"/>
            <w:noWrap/>
            <w:hideMark/>
          </w:tcPr>
          <w:p w14:paraId="269CC38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26</w:t>
            </w:r>
          </w:p>
        </w:tc>
        <w:tc>
          <w:tcPr>
            <w:tcW w:w="843" w:type="dxa"/>
            <w:noWrap/>
            <w:hideMark/>
          </w:tcPr>
          <w:p w14:paraId="6705619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22-32</w:t>
            </w:r>
          </w:p>
        </w:tc>
        <w:tc>
          <w:tcPr>
            <w:tcW w:w="2268" w:type="dxa"/>
            <w:gridSpan w:val="2"/>
            <w:noWrap/>
            <w:hideMark/>
          </w:tcPr>
          <w:p w14:paraId="547CBD8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Arithmetic operations</w:t>
            </w:r>
          </w:p>
        </w:tc>
        <w:tc>
          <w:tcPr>
            <w:tcW w:w="708" w:type="dxa"/>
            <w:gridSpan w:val="2"/>
            <w:noWrap/>
            <w:hideMark/>
          </w:tcPr>
          <w:p w14:paraId="507F092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16</w:t>
            </w:r>
          </w:p>
        </w:tc>
        <w:tc>
          <w:tcPr>
            <w:tcW w:w="1710" w:type="dxa"/>
            <w:gridSpan w:val="2"/>
          </w:tcPr>
          <w:p w14:paraId="348F10B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Tim Trio Siemens</w:t>
            </w:r>
          </w:p>
        </w:tc>
        <w:tc>
          <w:tcPr>
            <w:tcW w:w="1064" w:type="dxa"/>
          </w:tcPr>
          <w:p w14:paraId="6F80CD0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SPM5</w:t>
            </w:r>
          </w:p>
        </w:tc>
        <w:tc>
          <w:tcPr>
            <w:tcW w:w="1377" w:type="dxa"/>
          </w:tcPr>
          <w:p w14:paraId="3B46D7F1"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&lt;0.0001</w:t>
            </w:r>
          </w:p>
        </w:tc>
        <w:tc>
          <w:tcPr>
            <w:tcW w:w="663" w:type="dxa"/>
          </w:tcPr>
          <w:p w14:paraId="27D7143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2800</w:t>
            </w:r>
          </w:p>
        </w:tc>
        <w:tc>
          <w:tcPr>
            <w:tcW w:w="1148" w:type="dxa"/>
          </w:tcPr>
          <w:p w14:paraId="012E54E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r>
      <w:tr w:rsidR="003D1F45" w:rsidRPr="00101744" w14:paraId="33BEE8A1" w14:textId="77777777" w:rsidTr="00B60BB2">
        <w:trPr>
          <w:trHeight w:val="300"/>
        </w:trPr>
        <w:tc>
          <w:tcPr>
            <w:tcW w:w="2269" w:type="dxa"/>
            <w:noWrap/>
            <w:hideMark/>
          </w:tcPr>
          <w:p w14:paraId="4B523C6C" w14:textId="05CFABBA"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{"citationItems":[{"id":"ITEM-1","itemData":{"DOI":"10.1016/j.neuropsychologia.2008.10.013","ISSN":"00283932","PMID":"19007800","abstract":"While there is consistent evidence from neuropsychological and brain imaging studies for an association between the left angular gyrus and mental arithmetic, its specific role in calculation has remained poorly understood. It has been speculated that the angular gyrus mediates the retrieval of arithmetic facts during problem solving, but this hypothesis has not been directly tested. In the present functional Magnetic Resonance Imaging study comprising 28 adults, we used trial-by-trial strategy self-reports to identify brain regions underpinning different strategies in arithmetic problem solving. Analyses revealed stronger activation of the left angular gyrus while solving arithmetic problems for which participants reported fact retrieval whereas the application of procedural strategies was accompanied by widespread activation in a fronto-parietal network. These data directly link the left angular gyrus with arithmetic fact retrieval and show that strategy self-reports can be used to predict differential patterns of brain activation.","author":[{"dropping-particle":"","family":"Grabner","given":"Roland H.","non-dropping-particle":"","parse-names":false,"suffix":""},{"dropping-particle":"","family":"Ansari","given":</w:instrText>
            </w:r>
            <w:r w:rsidR="00C14016">
              <w:rPr>
                <w:rFonts w:ascii="Arial" w:hAnsi="Arial" w:cs="Arial"/>
                <w:color w:val="000000"/>
                <w:sz w:val="18"/>
                <w:szCs w:val="18"/>
                <w:lang w:eastAsia="pt-PT"/>
              </w:rPr>
              <w:instrText>"Daniel","non-dropping-particle":"","parse-names":false,"suffix":""},{"dropping-particle":"","family":"Koschutnig","given":"Karl","non-dropping-particle":"","parse-names":false,"suffix":""},{"dropping-particle":"","family":"Reishofer","given":"Gernot","non-dropping-particle":"","parse-names":false,"suffix":""},{"dropping-particle":"","family":"Ebner","given":"Franz","non-dropping-particle":"","parse-names":false,"suffix":""},{"dropping-particle":"","family":"Neuper","given":"Christa","non-dropping-particle":"","parse-names":false,"suffix":""}],"container-title":"Neuropsychologia","id":"ITEM-1","issue":"2","issued":{"date-parts":[["2009","1"]]},"page":"604-608","title":"To retrieve or to calculate? Left angular gyrus mediates the retrieval of arithmetic facts during problem solving","type":"article-journal","volume":"47"},"uris":["http://www.mendeley.com/documents/?uuid=79b9dba8-ae7e-3d7d-bb7f-7e2668d887d2"]}],"mendeley":{"formattedCitation":"(Grabner, Ansari, et al. 2009)","plainTextFormattedCitation":"(Grabner, Ansari, et al. 2009)","previouslyFormattedCitation":"&lt;sup&gt;101&lt;/sup&gt;"},"properties":{"noteIndex":0},"schema":"https://github.com/citation-style-language/schema/raw/master/csl-citation.json"}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(Grabner, Ansari, et al. 2009)</w:t>
            </w:r>
            <w:r w:rsidRPr="00101744">
              <w:rPr>
                <w:rFonts w:ascii="Arial" w:eastAsia="Times New Roman" w:hAnsi="Arial" w:cs="Arial"/>
                <w:color w:val="000000"/>
                <w:sz w:val="18"/>
                <w:szCs w:val="18"/>
                <w:lang w:val="en-US" w:eastAsia="pt-PT"/>
              </w:rPr>
              <w:fldChar w:fldCharType="end"/>
            </w:r>
          </w:p>
        </w:tc>
        <w:tc>
          <w:tcPr>
            <w:tcW w:w="709" w:type="dxa"/>
            <w:noWrap/>
            <w:hideMark/>
          </w:tcPr>
          <w:p w14:paraId="2CE4CAA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28</w:t>
            </w:r>
          </w:p>
        </w:tc>
        <w:tc>
          <w:tcPr>
            <w:tcW w:w="709" w:type="dxa"/>
            <w:noWrap/>
            <w:hideMark/>
          </w:tcPr>
          <w:p w14:paraId="603F7D8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28</w:t>
            </w:r>
          </w:p>
        </w:tc>
        <w:tc>
          <w:tcPr>
            <w:tcW w:w="571" w:type="dxa"/>
            <w:noWrap/>
            <w:hideMark/>
          </w:tcPr>
          <w:p w14:paraId="7EC060F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0</w:t>
            </w:r>
          </w:p>
        </w:tc>
        <w:tc>
          <w:tcPr>
            <w:tcW w:w="704" w:type="dxa"/>
            <w:noWrap/>
            <w:hideMark/>
          </w:tcPr>
          <w:p w14:paraId="3555B0C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27</w:t>
            </w:r>
          </w:p>
        </w:tc>
        <w:tc>
          <w:tcPr>
            <w:tcW w:w="843" w:type="dxa"/>
            <w:noWrap/>
            <w:hideMark/>
          </w:tcPr>
          <w:p w14:paraId="336BF7F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22-33</w:t>
            </w:r>
          </w:p>
        </w:tc>
        <w:tc>
          <w:tcPr>
            <w:tcW w:w="2268" w:type="dxa"/>
            <w:gridSpan w:val="2"/>
            <w:noWrap/>
            <w:hideMark/>
          </w:tcPr>
          <w:p w14:paraId="5015B77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Arithmetic operations</w:t>
            </w:r>
          </w:p>
        </w:tc>
        <w:tc>
          <w:tcPr>
            <w:tcW w:w="708" w:type="dxa"/>
            <w:gridSpan w:val="2"/>
            <w:noWrap/>
            <w:hideMark/>
          </w:tcPr>
          <w:p w14:paraId="6C2C5B8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1710" w:type="dxa"/>
            <w:gridSpan w:val="2"/>
          </w:tcPr>
          <w:p w14:paraId="7CBFF0D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Tim Trio Siemens</w:t>
            </w:r>
          </w:p>
        </w:tc>
        <w:tc>
          <w:tcPr>
            <w:tcW w:w="1064" w:type="dxa"/>
          </w:tcPr>
          <w:p w14:paraId="6A87DEF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SPM5</w:t>
            </w:r>
          </w:p>
        </w:tc>
        <w:tc>
          <w:tcPr>
            <w:tcW w:w="1377" w:type="dxa"/>
          </w:tcPr>
          <w:p w14:paraId="7982A397"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&lt;0.001</w:t>
            </w:r>
          </w:p>
        </w:tc>
        <w:tc>
          <w:tcPr>
            <w:tcW w:w="663" w:type="dxa"/>
          </w:tcPr>
          <w:p w14:paraId="23CAD89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37E3A85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r>
      <w:tr w:rsidR="003D1F45" w:rsidRPr="00101744" w14:paraId="3827FA7B" w14:textId="77777777" w:rsidTr="00B60BB2">
        <w:trPr>
          <w:trHeight w:val="300"/>
        </w:trPr>
        <w:tc>
          <w:tcPr>
            <w:tcW w:w="2269" w:type="dxa"/>
            <w:noWrap/>
            <w:hideMark/>
          </w:tcPr>
          <w:p w14:paraId="3DEF3118" w14:textId="28C8910B"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{"citationItems":[{"id":"ITEM-1","itemData":{"DOI":"10.1136/jnnp.2006.097345","ISSN":"0022-3050","PMID":"16952916","abstract":"OBJECTIVE To determine how cortical compensation occurs in higher cognitive systems during the recovery phase of diffuse axonal injury (DAI). DESIGN 12 right-handed patients with a magnetic resonance imaging (MRI) lesion pattern compatible with pure DAI were identified. Pure DAI was defined as finding of traumatic microbleeds on T2*-weighted gradient-echo images in the absence of otherwise traumatic or non-traumatic MRI abnormalities. 12 matched healthy controls were also enrolled. Functional magnetic resonance imaging (fMRI) was used to assess brain activation during a working memory test (Paced Visual Serial Attention Test (PVSAT)). RESULTS No significant group differences were observed in reaction times for the PVSAT. Although patients with pure DAI committed a few errors during the PVSAT, controls respond correctly to each probe. Controls showed activations in the left frontal gyrus, left parietal gyrus and right inferior parietal gyrus. Patients with pure DAI showed activations in the left inferior frontal gyrus, right inferior frontal gyrus and right middle frontal gyrus. Between-group analysis of the PVSAT task showed significantly greater activation of the right inferior frontal gyrus (BA 45) and right middle frontal gyrus (BA 9) in patient with pure DAI versus controls. CONCLUSIONS Patients with pure DAI require compensatory activation of the contralateral (right) prefrontal region to carry out activities similar to healthy controls. These findings provide further evidence for the adaptive capacity of neuronal systems and brain plasticity during the recovery stages of DAI.","author":[{"dropping-particle":"","family":"Maruishi","given":"M","non-dropping-particle":"","parse-names":false,"suffix":""},{"dropping-particle":"","family":"Miyatani","given":"M","non-dropping-particle":"","parse-names":false,"suffix":""},{"dropping-particle":"","family":"Nakao","given":"T","non-dropping-particle":"","parse-names":false,"suffix":""},{"dropping-particle":"","family":"Muranaka","given":"H","non-dropping-particle":"","parse-names":false,"suffix":""}],"container-title":"Journal of Neurology, Neurosurgery &amp; Psychiatry","id":"ITEM-1","issue":"2","issued":{"date-parts":[["2007","2","1"]]},"page":"168-173","title":"Compensatory cortical activation during performance of an attention task by patients with diffuse axonal injury: a functional magnetic resonance imaging study","type":"article-journal","volume":"78"},"uris":["http://www.mendeley.com/documents/?uuid=34535cd6-2989-3e51-98bd-5a65033552b0"]}],"mendeley":{"formattedCitation":"(Maruishi et al. 2007)","plainTextFormattedCitation":"(Maruishi et al. 2007)","previouslyFormattedCitation":"&lt;sup&gt;102&lt;/sup&gt;"},"properties":{"noteIndex":0},"schema":"https://github.com/citation-style-language/schema/raw/master/csl-citation.json"}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(Maruishi et al. 2007)</w:t>
            </w:r>
            <w:r w:rsidRPr="00101744">
              <w:rPr>
                <w:rFonts w:ascii="Arial" w:eastAsia="Times New Roman" w:hAnsi="Arial" w:cs="Arial"/>
                <w:color w:val="000000"/>
                <w:sz w:val="18"/>
                <w:szCs w:val="18"/>
                <w:lang w:val="en-US" w:eastAsia="pt-PT"/>
              </w:rPr>
              <w:fldChar w:fldCharType="end"/>
            </w:r>
          </w:p>
        </w:tc>
        <w:tc>
          <w:tcPr>
            <w:tcW w:w="709" w:type="dxa"/>
            <w:noWrap/>
            <w:hideMark/>
          </w:tcPr>
          <w:p w14:paraId="1C3B3FE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12</w:t>
            </w:r>
          </w:p>
        </w:tc>
        <w:tc>
          <w:tcPr>
            <w:tcW w:w="709" w:type="dxa"/>
            <w:noWrap/>
            <w:hideMark/>
          </w:tcPr>
          <w:p w14:paraId="281081FA"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571" w:type="dxa"/>
            <w:noWrap/>
            <w:hideMark/>
          </w:tcPr>
          <w:p w14:paraId="1C57189B" w14:textId="77777777" w:rsidR="003D1F45" w:rsidRPr="00101744" w:rsidRDefault="003D1F45" w:rsidP="00B60BB2">
            <w:pPr>
              <w:jc w:val="center"/>
              <w:rPr>
                <w:rFonts w:ascii="Arial" w:eastAsia="Times New Roman" w:hAnsi="Arial" w:cs="Arial"/>
                <w:sz w:val="18"/>
                <w:szCs w:val="18"/>
                <w:lang w:val="en-US" w:eastAsia="pt-PT"/>
              </w:rPr>
            </w:pPr>
          </w:p>
        </w:tc>
        <w:tc>
          <w:tcPr>
            <w:tcW w:w="704" w:type="dxa"/>
            <w:noWrap/>
            <w:hideMark/>
          </w:tcPr>
          <w:p w14:paraId="5457C26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26</w:t>
            </w:r>
          </w:p>
        </w:tc>
        <w:tc>
          <w:tcPr>
            <w:tcW w:w="843" w:type="dxa"/>
            <w:noWrap/>
            <w:hideMark/>
          </w:tcPr>
          <w:p w14:paraId="45C9F04A"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6F141EE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 (Addition)</w:t>
            </w:r>
          </w:p>
        </w:tc>
        <w:tc>
          <w:tcPr>
            <w:tcW w:w="708" w:type="dxa"/>
            <w:gridSpan w:val="2"/>
            <w:noWrap/>
            <w:hideMark/>
          </w:tcPr>
          <w:p w14:paraId="71F32DF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1710" w:type="dxa"/>
            <w:gridSpan w:val="2"/>
          </w:tcPr>
          <w:p w14:paraId="1937E5E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1.5T Symphony Siemens</w:t>
            </w:r>
          </w:p>
        </w:tc>
        <w:tc>
          <w:tcPr>
            <w:tcW w:w="1064" w:type="dxa"/>
          </w:tcPr>
          <w:p w14:paraId="107BA22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SPM2</w:t>
            </w:r>
          </w:p>
        </w:tc>
        <w:tc>
          <w:tcPr>
            <w:tcW w:w="1377" w:type="dxa"/>
          </w:tcPr>
          <w:p w14:paraId="7208F787"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Pcorr</w:t>
            </w:r>
            <w:proofErr w:type="spellEnd"/>
            <w:r w:rsidRPr="00101744">
              <w:rPr>
                <w:rFonts w:ascii="Arial" w:eastAsia="Times New Roman" w:hAnsi="Arial" w:cs="Arial"/>
                <w:color w:val="000000"/>
                <w:sz w:val="18"/>
                <w:szCs w:val="18"/>
                <w:lang w:val="en-US"/>
              </w:rPr>
              <w:t>&lt;0.05</w:t>
            </w:r>
          </w:p>
        </w:tc>
        <w:tc>
          <w:tcPr>
            <w:tcW w:w="663" w:type="dxa"/>
          </w:tcPr>
          <w:p w14:paraId="5D0CE0D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2200</w:t>
            </w:r>
          </w:p>
        </w:tc>
        <w:tc>
          <w:tcPr>
            <w:tcW w:w="1148" w:type="dxa"/>
          </w:tcPr>
          <w:p w14:paraId="5219859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r>
      <w:tr w:rsidR="003D1F45" w:rsidRPr="00101744" w14:paraId="3B0103EF" w14:textId="77777777" w:rsidTr="00B60BB2">
        <w:trPr>
          <w:trHeight w:val="300"/>
        </w:trPr>
        <w:tc>
          <w:tcPr>
            <w:tcW w:w="2269" w:type="dxa"/>
            <w:noWrap/>
            <w:hideMark/>
          </w:tcPr>
          <w:p w14:paraId="70C112BA" w14:textId="0C628A16"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{"citationItems":[{"id":"ITEM-1","itemData":{"DOI":"10.1523/JNEUROSCI.6257-11.2013","ISSN":"0270-6474","PMID":"23325227","abstract":"It has been proposed that numerical and temporal information are processed by partially overlapping magnitude systems. Interactions across different magnitude domains could occur both at the level of perception and decision-making. However, their neural correlates have been elusive. Here, using functional magnetic resonance imaging in humans, we show that the right intraparietal cortex (IPC) and inferior frontal gyrus (IFG) are jointly activated by duration and numerosity discrimination tasks, with a congruency effect in the right IFG. To determine whether the IPC and the IFG are involved in response conflict (or facilitation) or modulation of subjective passage of time by numerical information, we examined their functional roles using transcranial magnetic stimulation (TMS) and two different numerosity-time interaction tasks: duration discrimination and time reproduction tasks. Our results show that TMS of the right IFG impairs categorical duration discrimination, whereas that of the right IPC modulates the degree of influence of numerosity on time perception and impairs precise time estimation. These results indicate that the right IFG is specifically involved at the categorical decision stage, whereas bleeding of numerosity information on perception of time occurs within the IPC. Together, our findings suggest a two-stage model of numerosity-time interactions whereby the interaction at the perceptual level occurs within the parietal region and the interaction at categorical decisions takes place in the prefrontal cortex.","author":[{"dropping-particle":"","family":"Hayashi","given":"M. J.","non-dropping-particle":"","parse-names":false,"suffix":""},{"dropping-particle":"","family":"Kanai","given":"R.","non-dropping-particle":"","parse-names":false,"suffix":""},{"dropping-particle":"","family":"Tanabe","given":"H. C.","non-dropping-particle":"","parse-names":false,"suffix":""},{"dropping-particle":"","family":"Yoshida","given":"Y.","non-dropping-particle":"","parse-names":false,"suffix":""},{"dropping-particle":"","family":"Carlson","given":"S.","non-dropping-particle":"","parse-names":false,"suffix":""},{"dropping-particle":"","family":"Walsh","given":"V.","non-dropping-particle":"","parse-names":false,"suffix":""},{"dropping-particle":"","family":"Sadato","given":"N.","non-dropping-particle":"","parse-names":false,"suffix":""}],"container-title":"Journal of Neuroscience","id":"ITEM-1","issue":"3","issued":{"date-parts":[["2013","1","16"]]},"page":"883-893","title":"Interaction of Numerosity and Time in Prefrontal and Parietal Cortex","type":"article-journal","volume":"33"},"uris":["http://www.mendeley.com/documents/?uuid=e2e9a59b-30d4-39bb-ad62-c56325fcbfaf"]}],"mendeley":{"formattedCitation":"(Hayashi et al. 2013)","plainTextFormattedCitation":"(Hayashi et al. 2013)","previouslyFormattedCitation":"&lt;sup&gt;103&lt;/sup&gt;"},"properties":{"noteIndex":0},"schema":"https://github.com/citation-style-language/schema/raw/master/csl-citation.json"}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(Hayashi et al. 2013)</w:t>
            </w:r>
            <w:r w:rsidRPr="00101744">
              <w:rPr>
                <w:rFonts w:ascii="Arial" w:eastAsia="Times New Roman" w:hAnsi="Arial" w:cs="Arial"/>
                <w:color w:val="000000"/>
                <w:sz w:val="18"/>
                <w:szCs w:val="18"/>
                <w:lang w:val="en-US" w:eastAsia="pt-PT"/>
              </w:rPr>
              <w:fldChar w:fldCharType="end"/>
            </w:r>
          </w:p>
        </w:tc>
        <w:tc>
          <w:tcPr>
            <w:tcW w:w="709" w:type="dxa"/>
            <w:noWrap/>
            <w:hideMark/>
          </w:tcPr>
          <w:p w14:paraId="39F865C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26</w:t>
            </w:r>
          </w:p>
        </w:tc>
        <w:tc>
          <w:tcPr>
            <w:tcW w:w="709" w:type="dxa"/>
            <w:noWrap/>
            <w:hideMark/>
          </w:tcPr>
          <w:p w14:paraId="0966499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12</w:t>
            </w:r>
          </w:p>
        </w:tc>
        <w:tc>
          <w:tcPr>
            <w:tcW w:w="571" w:type="dxa"/>
            <w:noWrap/>
            <w:hideMark/>
          </w:tcPr>
          <w:p w14:paraId="34229AD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14</w:t>
            </w:r>
          </w:p>
        </w:tc>
        <w:tc>
          <w:tcPr>
            <w:tcW w:w="704" w:type="dxa"/>
            <w:noWrap/>
            <w:hideMark/>
          </w:tcPr>
          <w:p w14:paraId="2E9C3581"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843" w:type="dxa"/>
            <w:noWrap/>
            <w:hideMark/>
          </w:tcPr>
          <w:p w14:paraId="39BD5D3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19-30</w:t>
            </w:r>
          </w:p>
        </w:tc>
        <w:tc>
          <w:tcPr>
            <w:tcW w:w="2268" w:type="dxa"/>
            <w:gridSpan w:val="2"/>
            <w:noWrap/>
            <w:hideMark/>
          </w:tcPr>
          <w:p w14:paraId="30AD1E0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Counting/Calculation</w:t>
            </w:r>
          </w:p>
        </w:tc>
        <w:tc>
          <w:tcPr>
            <w:tcW w:w="708" w:type="dxa"/>
            <w:gridSpan w:val="2"/>
            <w:noWrap/>
            <w:hideMark/>
          </w:tcPr>
          <w:p w14:paraId="7C64FA3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28</w:t>
            </w:r>
          </w:p>
        </w:tc>
        <w:tc>
          <w:tcPr>
            <w:tcW w:w="1710" w:type="dxa"/>
            <w:gridSpan w:val="2"/>
          </w:tcPr>
          <w:p w14:paraId="48DFA80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Allegra Siemens</w:t>
            </w:r>
          </w:p>
        </w:tc>
        <w:tc>
          <w:tcPr>
            <w:tcW w:w="1064" w:type="dxa"/>
          </w:tcPr>
          <w:p w14:paraId="473E209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SPM8</w:t>
            </w:r>
          </w:p>
        </w:tc>
        <w:tc>
          <w:tcPr>
            <w:tcW w:w="1377" w:type="dxa"/>
          </w:tcPr>
          <w:p w14:paraId="3574E0A0"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63" w:type="dxa"/>
          </w:tcPr>
          <w:p w14:paraId="5FDA349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511F5B5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3.5</w:t>
            </w:r>
          </w:p>
        </w:tc>
      </w:tr>
      <w:tr w:rsidR="003D1F45" w:rsidRPr="00101744" w14:paraId="76377260" w14:textId="77777777" w:rsidTr="00B60BB2">
        <w:trPr>
          <w:trHeight w:val="300"/>
        </w:trPr>
        <w:tc>
          <w:tcPr>
            <w:tcW w:w="2269" w:type="dxa"/>
            <w:noWrap/>
            <w:hideMark/>
          </w:tcPr>
          <w:p w14:paraId="3100B90C" w14:textId="370FAAD1"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{"citationItems":[{"id":"ITEM-1","itemData":{"DOI":"10.1093/cercor/bht074","ISSN":"1460-2199","PMID":"23535179","abstract":"We examined the effects of number magnitude (within vs. outside the subitizable range) and notation (symbolic vs. nonsymbolic number) on neural responses to visual displays in the human brain using fMRI at 7T. We found that the right temporoparietal junction (rTPJ) responded more strongly to small than to larger numbers (2, 4 &gt; 6, 8), while there was greater activity bilaterally within and around the intraparietal sulcus (IPS) as number magnitude increased (6, 8 &gt; 2, 4). The effects of number magnitude were greatest for nonsymbolic stimuli. In addition, there was striking overlap between rTPJ regions responding to small numbers and those most strongly activated by symbolic stimuli, and between IPS regions responding to large numbers and those most activated by nonsymbolic stimuli. The results are consistent with distinct neural processes recruited for the processing of small- and large-number magnitudes. Contributions due to differences in representing exact number (small nonsymbolic arrays and all symbolic numbers, in rTPJ) and overall magnitude (particularly with large nonsymbolic arrays, in IPS), and the associated theoretical implications of the findings, are discussed.","author":[{"dropping-particle":"","family":"He","given":"Lixia","non-dropping-particle":"","parse-names":false,"suffix":""},{"dropping-particle":"","family":"Zuo","given":"Zhentao","non-dropping-particle":"","parse-names":false,"suffix":""},{"dropping-particle":"","family":"Chen","given":"Lin","non-dropping-particle":"","parse-names":false,"suffix":""},{"dropping-particle":"","family":"Humphreys","given":"Glyn","non-dropping-particle":"","parse-names":false,"suffix":""}],"container-title":"Cerebral Cortex","id":"ITEM-1","issue":"8","issued":{"date-parts":[["2014","8"]]},"page":"2199-2209","title":"Effects of Number Magnitude and Notation at 7T: Separating the Neural Response to Small and Large, Symbolic and Nonsymbolic Number","type":"article-journal","volume":"24"},"uris":["http://www.mendeley.com/documents/?uuid=5258510e-e8a1-476a-ba18-fe1293e6f163"]}],"mendeley":{"formattedCitation":"(He et al. 2014)","plainTextFormattedCitation":"(He et al. 2014)","previouslyFormattedCitation":"&lt;sup&gt;104&lt;/sup&gt;"},"properties":{"noteIndex":0},"schema":"https://github.com/citation-style-language/schema/raw/master/csl-citation.json"}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(He et al. 2014)</w:t>
            </w:r>
            <w:r w:rsidRPr="00101744">
              <w:rPr>
                <w:rFonts w:ascii="Arial" w:eastAsia="Times New Roman" w:hAnsi="Arial" w:cs="Arial"/>
                <w:color w:val="000000"/>
                <w:sz w:val="18"/>
                <w:szCs w:val="18"/>
                <w:lang w:val="en-US" w:eastAsia="pt-PT"/>
              </w:rPr>
              <w:fldChar w:fldCharType="end"/>
            </w:r>
          </w:p>
        </w:tc>
        <w:tc>
          <w:tcPr>
            <w:tcW w:w="709" w:type="dxa"/>
            <w:noWrap/>
            <w:hideMark/>
          </w:tcPr>
          <w:p w14:paraId="03C7D74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w:t>
            </w:r>
          </w:p>
        </w:tc>
        <w:tc>
          <w:tcPr>
            <w:tcW w:w="709" w:type="dxa"/>
            <w:noWrap/>
            <w:hideMark/>
          </w:tcPr>
          <w:p w14:paraId="249B8BE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12</w:t>
            </w:r>
          </w:p>
        </w:tc>
        <w:tc>
          <w:tcPr>
            <w:tcW w:w="571" w:type="dxa"/>
            <w:noWrap/>
            <w:hideMark/>
          </w:tcPr>
          <w:p w14:paraId="7E53CC9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704" w:type="dxa"/>
            <w:noWrap/>
            <w:hideMark/>
          </w:tcPr>
          <w:p w14:paraId="6FDD110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21</w:t>
            </w:r>
          </w:p>
        </w:tc>
        <w:tc>
          <w:tcPr>
            <w:tcW w:w="843" w:type="dxa"/>
            <w:noWrap/>
            <w:hideMark/>
          </w:tcPr>
          <w:p w14:paraId="0EE40926"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5D3FC02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Number comparison</w:t>
            </w:r>
          </w:p>
        </w:tc>
        <w:tc>
          <w:tcPr>
            <w:tcW w:w="708" w:type="dxa"/>
            <w:gridSpan w:val="2"/>
            <w:noWrap/>
            <w:hideMark/>
          </w:tcPr>
          <w:p w14:paraId="71BBB81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22</w:t>
            </w:r>
          </w:p>
        </w:tc>
        <w:tc>
          <w:tcPr>
            <w:tcW w:w="1710" w:type="dxa"/>
            <w:gridSpan w:val="2"/>
          </w:tcPr>
          <w:p w14:paraId="49912F7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7T Siemens</w:t>
            </w:r>
          </w:p>
        </w:tc>
        <w:tc>
          <w:tcPr>
            <w:tcW w:w="1064" w:type="dxa"/>
          </w:tcPr>
          <w:p w14:paraId="61D74A4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SPM8</w:t>
            </w:r>
          </w:p>
        </w:tc>
        <w:tc>
          <w:tcPr>
            <w:tcW w:w="1377" w:type="dxa"/>
          </w:tcPr>
          <w:p w14:paraId="1B49D31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P(FWE)&lt;0.05</w:t>
            </w:r>
          </w:p>
        </w:tc>
        <w:tc>
          <w:tcPr>
            <w:tcW w:w="663" w:type="dxa"/>
          </w:tcPr>
          <w:p w14:paraId="7A34343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3FC4A69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1.4</w:t>
            </w:r>
          </w:p>
        </w:tc>
      </w:tr>
      <w:tr w:rsidR="003D1F45" w:rsidRPr="00101744" w14:paraId="0F568626" w14:textId="77777777" w:rsidTr="00B60BB2">
        <w:trPr>
          <w:trHeight w:val="300"/>
        </w:trPr>
        <w:tc>
          <w:tcPr>
            <w:tcW w:w="2269" w:type="dxa"/>
            <w:noWrap/>
            <w:hideMark/>
          </w:tcPr>
          <w:p w14:paraId="482BBB52" w14:textId="32393F4E"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{"citationItems":[{"id":"ITEM-1","itemData":{"DOI":"10.1162/jocn.2009.21399","ISSN":"0898-929X","PMID":"19929327","abstract":"Because number is an abstract quality of a set, the way in which a number is externally represented does not change its quantitative meaning. In this study, we examined the development of the brain regions that support format-independent representation of numerical magnitude. We asked children and adults to perform both symbolic (Hindu-Arabic numerals) and nonsymbolic (arrays of squares) numerical comparison tasks as well as two control tasks while their brains were scanned using fMRI. In a preliminary analysis, we calculated the conjunction between symbolic and nonsymbolic numerical comparison. We then examined in which brain regions this conjunction differed between children and adults. This analysis revealed a large network of visual and parietal regions that showed greater activation in adults relative to children. In our primary analysis, we examined age-related differences in the conjunction of symbolic and nonsymbolic comparison after subtracting the control tasks. This analysis revealed a much more limited set of regions including the right inferior parietal lobe near the intraparietal sulcus. In addition to showing increased activation to both symbolic and nonsymbolic magnitudes over and above activation related to response selection, this region showed age-related differences in the distance effect. Our findings demonstrate that the format-independent representation of numerical magnitude in the right inferior parietal lobe is the product of developmental processes of cortical specialization and highlight the importance of using appropriate control tasks when conducting developmental neuroimaging studies.","author":[{"dropping-particle":"","family":"Holloway","given":"Ian D.","non-dropping-particle":"","parse-names":false,"suffix":""},{"dropping-particle":"","family":"Ansari","given":"Daniel","non-dropping-particle":"","parse-names":false,"suffix":""}],"container-title":"Journal of Cognitive Neuroscience","id":"ITEM-1","issue":"11","issued":{"date-parts":[["2010","11"]]},"page":"2627-2637","title":"Developmental Specialization in the Right Intraparietal Sulcus for the Abstract Representation of Numerical Magnitude","type":"article-journal","volume":"22"},"uris":["http://www.mendeley.com/documents/?uuid=596e6df9-733d-388f-9d3b-1c65b9222a35"]}],"mendeley":{"formattedCitation":"(Holloway and Ansari 2010)","plainTextFormattedCitation":"(Holloway and Ansari 2010)","previouslyFormattedCitation":"&lt;sup&gt;105&lt;/sup&gt;"},"properties":{"noteIndex":0},"schema":"https://github.com/citation-style-language/schema/raw/master/csl-citation.json"}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(Holloway and Ansari 2010)</w:t>
            </w:r>
            <w:r w:rsidRPr="00101744">
              <w:rPr>
                <w:rFonts w:ascii="Arial" w:eastAsia="Times New Roman" w:hAnsi="Arial" w:cs="Arial"/>
                <w:color w:val="000000"/>
                <w:sz w:val="18"/>
                <w:szCs w:val="18"/>
                <w:lang w:val="en-US" w:eastAsia="pt-PT"/>
              </w:rPr>
              <w:fldChar w:fldCharType="end"/>
            </w:r>
          </w:p>
        </w:tc>
        <w:tc>
          <w:tcPr>
            <w:tcW w:w="709" w:type="dxa"/>
            <w:noWrap/>
            <w:hideMark/>
          </w:tcPr>
          <w:p w14:paraId="50BE08B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w:t>
            </w:r>
          </w:p>
        </w:tc>
        <w:tc>
          <w:tcPr>
            <w:tcW w:w="709" w:type="dxa"/>
            <w:noWrap/>
            <w:hideMark/>
          </w:tcPr>
          <w:p w14:paraId="25620D3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9</w:t>
            </w:r>
          </w:p>
        </w:tc>
        <w:tc>
          <w:tcPr>
            <w:tcW w:w="571" w:type="dxa"/>
            <w:noWrap/>
            <w:hideMark/>
          </w:tcPr>
          <w:p w14:paraId="3DA270B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704" w:type="dxa"/>
            <w:noWrap/>
            <w:hideMark/>
          </w:tcPr>
          <w:p w14:paraId="1BCB05F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23</w:t>
            </w:r>
          </w:p>
        </w:tc>
        <w:tc>
          <w:tcPr>
            <w:tcW w:w="843" w:type="dxa"/>
            <w:noWrap/>
            <w:hideMark/>
          </w:tcPr>
          <w:p w14:paraId="56B13E6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18-28</w:t>
            </w:r>
          </w:p>
        </w:tc>
        <w:tc>
          <w:tcPr>
            <w:tcW w:w="2268" w:type="dxa"/>
            <w:gridSpan w:val="2"/>
            <w:noWrap/>
            <w:hideMark/>
          </w:tcPr>
          <w:p w14:paraId="68B4F06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Number comparison</w:t>
            </w:r>
          </w:p>
        </w:tc>
        <w:tc>
          <w:tcPr>
            <w:tcW w:w="708" w:type="dxa"/>
            <w:gridSpan w:val="2"/>
            <w:noWrap/>
            <w:hideMark/>
          </w:tcPr>
          <w:p w14:paraId="0077959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w:t>
            </w:r>
          </w:p>
        </w:tc>
        <w:tc>
          <w:tcPr>
            <w:tcW w:w="1710" w:type="dxa"/>
            <w:gridSpan w:val="2"/>
          </w:tcPr>
          <w:p w14:paraId="06B239C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3T </w:t>
            </w:r>
            <w:proofErr w:type="spellStart"/>
            <w:r w:rsidRPr="00101744">
              <w:rPr>
                <w:rFonts w:ascii="Arial" w:eastAsia="Times New Roman" w:hAnsi="Arial" w:cs="Arial"/>
                <w:color w:val="000000"/>
                <w:sz w:val="18"/>
                <w:szCs w:val="18"/>
                <w:lang w:val="en-US"/>
              </w:rPr>
              <w:t>Intera</w:t>
            </w:r>
            <w:proofErr w:type="spellEnd"/>
            <w:r w:rsidRPr="00101744">
              <w:rPr>
                <w:rFonts w:ascii="Arial" w:eastAsia="Times New Roman" w:hAnsi="Arial" w:cs="Arial"/>
                <w:color w:val="000000"/>
                <w:sz w:val="18"/>
                <w:szCs w:val="18"/>
                <w:lang w:val="en-US"/>
              </w:rPr>
              <w:t xml:space="preserve"> Philips</w:t>
            </w:r>
          </w:p>
        </w:tc>
        <w:tc>
          <w:tcPr>
            <w:tcW w:w="1064" w:type="dxa"/>
          </w:tcPr>
          <w:p w14:paraId="7E5ED65D"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BrainVoyager</w:t>
            </w:r>
            <w:proofErr w:type="spellEnd"/>
            <w:r w:rsidRPr="00101744">
              <w:rPr>
                <w:rFonts w:ascii="Arial" w:eastAsia="Times New Roman" w:hAnsi="Arial" w:cs="Arial"/>
                <w:color w:val="000000"/>
                <w:sz w:val="18"/>
                <w:szCs w:val="18"/>
                <w:lang w:val="en-US"/>
              </w:rPr>
              <w:t xml:space="preserve"> QX 1.10.4</w:t>
            </w:r>
          </w:p>
        </w:tc>
        <w:tc>
          <w:tcPr>
            <w:tcW w:w="1377" w:type="dxa"/>
          </w:tcPr>
          <w:p w14:paraId="1752A20A"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Pbonferroni</w:t>
            </w:r>
            <w:proofErr w:type="spellEnd"/>
            <w:r w:rsidRPr="00101744">
              <w:rPr>
                <w:rFonts w:ascii="Arial" w:eastAsia="Times New Roman" w:hAnsi="Arial" w:cs="Arial"/>
                <w:color w:val="000000"/>
                <w:sz w:val="18"/>
                <w:szCs w:val="18"/>
                <w:lang w:val="en-US"/>
              </w:rPr>
              <w:t>&lt;0.01</w:t>
            </w:r>
          </w:p>
        </w:tc>
        <w:tc>
          <w:tcPr>
            <w:tcW w:w="663" w:type="dxa"/>
          </w:tcPr>
          <w:p w14:paraId="581F193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3000</w:t>
            </w:r>
          </w:p>
        </w:tc>
        <w:tc>
          <w:tcPr>
            <w:tcW w:w="1148" w:type="dxa"/>
          </w:tcPr>
          <w:p w14:paraId="3C1867E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w:t>
            </w:r>
          </w:p>
        </w:tc>
      </w:tr>
      <w:tr w:rsidR="003D1F45" w:rsidRPr="00101744" w14:paraId="7DF6CDC4" w14:textId="77777777" w:rsidTr="00B60BB2">
        <w:trPr>
          <w:trHeight w:val="300"/>
        </w:trPr>
        <w:tc>
          <w:tcPr>
            <w:tcW w:w="2269" w:type="dxa"/>
            <w:noWrap/>
            <w:hideMark/>
          </w:tcPr>
          <w:p w14:paraId="05651E00" w14:textId="5D447F8C"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{"citationItems":[{"id":"ITEM-1","itemData":{"DOI":"10.1016/j.neuroimage.2004.12.041","ISSN":"10538119","PMID":"15808989","abstract":"This study aimed at investigating the neural correlates of a number-size congruity task. Using an event-related fMRI design, we presented one-digit number pairs to 17 participants in a number-size interference task that required subjects to focus on one stimulus property (e.g., numerical size) and to ignore the other (physical size). In different blocks, participants were asked to decide which digit of a digit pair was numerically larger (numerical comparison task) or physically larger (physical comparison task). Stimuli were classified into three categories: (a) congruent: physical and numerical comparison leads to the same response; (b) incongruent: physical and numerical comparison leads to different responses; (c) neutral: the stimuli differ only with regard to the task-relevant stimulus property. Behavioral results reflect robust distance effects (quicker reaction times for long distances relative to short ones) and size congruity effects (longer reaction times for incongruent relative to congruent stimuli) in both tasks. Imaging results reveal that-compared to congruent trials-incongruent trials led to a stronger activation in the dorsolateral prefrontal cortex and the anterior cingulate cortex, areas associated with attentional control. The distance effect (neutral condition only) led to a stronger activation in bilateral parietal areas including the intraparietal sulcus (IPS).","author":[{"dropping-particle":"","family":"Kaufmann","given":"Liane","non-dropping-particle":"","parse-names":false,"suffix":""},{"dro</w:instrText>
            </w:r>
            <w:r w:rsidR="00C14016" w:rsidRPr="00C14016">
              <w:rPr>
                <w:rFonts w:ascii="Arial" w:hAnsi="Arial" w:cs="Arial"/>
                <w:color w:val="000000"/>
                <w:sz w:val="18"/>
                <w:szCs w:val="18"/>
                <w:lang w:val="en-GB" w:eastAsia="pt-PT"/>
              </w:rPr>
              <w:instrText>pping-particle":"","family":"Koppelstaetter","given":"Florian","non-dropping-particle":"","parse-names":false,"suffix":""},{"dropping-particle":"","family":"Delazer","given":"Margarete","non-dropping-particle":"","parse-names":false,"suffix":""},{"dropping-particle":"","family":"Siedentopf","given":"Christian","non-dropping-particle":"","parse-names":false,"suffix":""},{"dropping-particle":"","family":"Rhomberg","given":"Paul","non-dropping-particle":"","parse-names":false,"suffix":""},{"dropping-particle":"","family":"Golaszewski","given":"Stefan","non-dropping-particle":"","parse-names":false,"suffix":""},{"dropping-particle":"","family":"Felber","given":"Stefan","non-dropping-particle":"","parse-names":false,"suffix":""},{"dropping-particle":"","family":"Ischebeck","given":"Anja","non-dropping-particle":"","parse-names":false,"suffix":""}],"container-title":"NeuroImage","id":"ITEM-1","issue":"3","issued":{"date-parts":[["2005","4","15"]]},"page":"888-898","title":"Neural correlates of distance and congruity effects in a numerical Stroop task: an event-related fMRI study","type":"article-journal","volume":"25"},"uris":["http://www.mendeley.com/documents/?uuid=13820828-5abd-3598-a71e-52a01f27ed70"]}],"mendeley":{"formattedCitation":"(Kaufmann et al. 2005)","plainTextFormattedCitation":"(Kaufmann et al. 2005)","previouslyFormattedCitation":"&lt;sup&gt;106&lt;/sup&gt;"},"properties":{"noteIndex":0},"schema":"https://github.com/citation-style-language/schema/raw/master/csl-citation.json"}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(Kaufmann et al. 2005)</w:t>
            </w:r>
            <w:r w:rsidRPr="00101744">
              <w:rPr>
                <w:rFonts w:ascii="Arial" w:eastAsia="Times New Roman" w:hAnsi="Arial" w:cs="Arial"/>
                <w:color w:val="000000"/>
                <w:sz w:val="18"/>
                <w:szCs w:val="18"/>
                <w:lang w:val="en-US" w:eastAsia="pt-PT"/>
              </w:rPr>
              <w:fldChar w:fldCharType="end"/>
            </w:r>
          </w:p>
        </w:tc>
        <w:tc>
          <w:tcPr>
            <w:tcW w:w="709" w:type="dxa"/>
            <w:noWrap/>
            <w:hideMark/>
          </w:tcPr>
          <w:p w14:paraId="133C905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17</w:t>
            </w:r>
          </w:p>
        </w:tc>
        <w:tc>
          <w:tcPr>
            <w:tcW w:w="709" w:type="dxa"/>
            <w:noWrap/>
            <w:hideMark/>
          </w:tcPr>
          <w:p w14:paraId="1579FEC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571" w:type="dxa"/>
            <w:noWrap/>
            <w:hideMark/>
          </w:tcPr>
          <w:p w14:paraId="042FA90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704" w:type="dxa"/>
            <w:noWrap/>
            <w:hideMark/>
          </w:tcPr>
          <w:p w14:paraId="3373523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31</w:t>
            </w:r>
          </w:p>
        </w:tc>
        <w:tc>
          <w:tcPr>
            <w:tcW w:w="843" w:type="dxa"/>
            <w:noWrap/>
            <w:hideMark/>
          </w:tcPr>
          <w:p w14:paraId="6A270E4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25-42</w:t>
            </w:r>
          </w:p>
        </w:tc>
        <w:tc>
          <w:tcPr>
            <w:tcW w:w="2268" w:type="dxa"/>
            <w:gridSpan w:val="2"/>
            <w:noWrap/>
            <w:hideMark/>
          </w:tcPr>
          <w:p w14:paraId="775BC05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Number comparison</w:t>
            </w:r>
          </w:p>
        </w:tc>
        <w:tc>
          <w:tcPr>
            <w:tcW w:w="708" w:type="dxa"/>
            <w:gridSpan w:val="2"/>
            <w:noWrap/>
            <w:hideMark/>
          </w:tcPr>
          <w:p w14:paraId="15EF925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w:t>
            </w:r>
          </w:p>
        </w:tc>
        <w:tc>
          <w:tcPr>
            <w:tcW w:w="1710" w:type="dxa"/>
            <w:gridSpan w:val="2"/>
          </w:tcPr>
          <w:p w14:paraId="22CD01D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1.5T Vision Siemens</w:t>
            </w:r>
          </w:p>
        </w:tc>
        <w:tc>
          <w:tcPr>
            <w:tcW w:w="1064" w:type="dxa"/>
          </w:tcPr>
          <w:p w14:paraId="2DCD96B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SPM99</w:t>
            </w:r>
          </w:p>
        </w:tc>
        <w:tc>
          <w:tcPr>
            <w:tcW w:w="1377" w:type="dxa"/>
          </w:tcPr>
          <w:p w14:paraId="431AAD23"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&lt;0.005</w:t>
            </w:r>
          </w:p>
        </w:tc>
        <w:tc>
          <w:tcPr>
            <w:tcW w:w="663" w:type="dxa"/>
          </w:tcPr>
          <w:p w14:paraId="7170F15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14E706A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3.91</w:t>
            </w:r>
          </w:p>
        </w:tc>
      </w:tr>
      <w:tr w:rsidR="003D1F45" w:rsidRPr="00101744" w14:paraId="27E08CDC" w14:textId="77777777" w:rsidTr="00B60BB2">
        <w:trPr>
          <w:trHeight w:val="300"/>
        </w:trPr>
        <w:tc>
          <w:tcPr>
            <w:tcW w:w="2269" w:type="dxa"/>
            <w:noWrap/>
            <w:hideMark/>
          </w:tcPr>
          <w:p w14:paraId="0040D2A4" w14:textId="346F996E"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{"citationItems":[{"id":"ITEM-1","itemData":{"DOI":"10.1162/jocn.2006.18.9.1518","ISSN":"0898-929X","PMID":"16989552","abstract":"The neural mechanism of number representation and processing is currently under extensive investigation. In this functional magnetic resonance imaging study, we designed a number comparison task to examine how people represent and compare two-digit numbers in the brain, and whether they process the decade and unit digits in parallel. We manipulated the decade-unit-digit congruency and numerical distance between the pairs of numbers. We observed both Stroop-like interference and the distance effect in the participants' performance. People responded more slowly to incongruent pairs of numbers and pairs of a smaller distance. The inferior parietal cortex showed common and distinct patterns of activation for both attentional selection and number comparison processes, and its activity was modulated by the Stroop-like interference effect and the distance effect. Taken together, these results support both parallel and holistic comparison of two-digit numbers in the brain.","author":[{"dropping-particle":"","family":"Liu","given":"Xun","non-dropping-particle":"","parse-names":false,"suffix":""},{"dropping-particle":"","family":"Wang","given":"Hongbin","non-dropping-particle":"","parse-names":false,"suffix":""},{"dropping-particl</w:instrText>
            </w:r>
            <w:r w:rsidR="00C14016">
              <w:rPr>
                <w:rFonts w:ascii="Arial" w:hAnsi="Arial" w:cs="Arial"/>
                <w:color w:val="000000"/>
                <w:sz w:val="18"/>
                <w:szCs w:val="18"/>
                <w:lang w:eastAsia="pt-PT"/>
              </w:rPr>
              <w:instrText>e":"","family":"Corbly","given":"Christine R.","non-dropping-particle":"","parse-names":false,"suffix":""},{"dropping-particle":"","family":"Zhang","given":"Jiajie","non-dropping-particle":"","parse-names":false,"suffix":""},{"dropping-particle":"","family":"Joseph","given":"Jane E.","non-dropping-particle":"","parse-names":false,"suffix":""}],"container-title":"Journal of Cognitive Neuroscience","id":"ITEM-1","issue":"9","issued":{"date-parts":[["2006","9"]]},"page":"1518-1530","title":"The Involvement of the Inferior Parietal Cortex in the Numerical Stroop Effect and the Distance Effect in a Two-digit Number Comparison Task","type":"article-journal","volume":"18"},"uris":["http://www.mendeley.com/documents/?uuid=2de5b6a3-f7d9-3f36-aa8b-7a0de5994f60"]}],"mendeley":{"formattedCitation":"(X. Liu et al. 2006)","plainTextFormattedCitation":"(X. Liu et al. 2006)","previouslyFormattedCitation":"&lt;sup&gt;107&lt;/sup&gt;"},"properties":{"noteIndex":0},"schema":"https://github.com/citation-style-language/schema/raw/master/csl-citation.json"}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(X. Liu et al. 2006)</w:t>
            </w:r>
            <w:r w:rsidRPr="00101744">
              <w:rPr>
                <w:rFonts w:ascii="Arial" w:eastAsia="Times New Roman" w:hAnsi="Arial" w:cs="Arial"/>
                <w:color w:val="000000"/>
                <w:sz w:val="18"/>
                <w:szCs w:val="18"/>
                <w:lang w:val="en-US" w:eastAsia="pt-PT"/>
              </w:rPr>
              <w:fldChar w:fldCharType="end"/>
            </w:r>
          </w:p>
        </w:tc>
        <w:tc>
          <w:tcPr>
            <w:tcW w:w="709" w:type="dxa"/>
            <w:noWrap/>
            <w:hideMark/>
          </w:tcPr>
          <w:p w14:paraId="51DD898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12</w:t>
            </w:r>
          </w:p>
        </w:tc>
        <w:tc>
          <w:tcPr>
            <w:tcW w:w="709" w:type="dxa"/>
            <w:noWrap/>
            <w:hideMark/>
          </w:tcPr>
          <w:p w14:paraId="3AF324B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w:t>
            </w:r>
          </w:p>
        </w:tc>
        <w:tc>
          <w:tcPr>
            <w:tcW w:w="571" w:type="dxa"/>
            <w:noWrap/>
            <w:hideMark/>
          </w:tcPr>
          <w:p w14:paraId="1CD3783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704" w:type="dxa"/>
            <w:noWrap/>
            <w:hideMark/>
          </w:tcPr>
          <w:p w14:paraId="77B693C3"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843" w:type="dxa"/>
            <w:noWrap/>
            <w:hideMark/>
          </w:tcPr>
          <w:p w14:paraId="324FA73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18-45</w:t>
            </w:r>
          </w:p>
        </w:tc>
        <w:tc>
          <w:tcPr>
            <w:tcW w:w="2268" w:type="dxa"/>
            <w:gridSpan w:val="2"/>
            <w:noWrap/>
            <w:hideMark/>
          </w:tcPr>
          <w:p w14:paraId="34CF8B5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Number comparison</w:t>
            </w:r>
          </w:p>
        </w:tc>
        <w:tc>
          <w:tcPr>
            <w:tcW w:w="708" w:type="dxa"/>
            <w:gridSpan w:val="2"/>
            <w:noWrap/>
            <w:hideMark/>
          </w:tcPr>
          <w:p w14:paraId="1920E9E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35</w:t>
            </w:r>
          </w:p>
        </w:tc>
        <w:tc>
          <w:tcPr>
            <w:tcW w:w="1710" w:type="dxa"/>
            <w:gridSpan w:val="2"/>
          </w:tcPr>
          <w:p w14:paraId="1EB9712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Tim Trio Siemens</w:t>
            </w:r>
          </w:p>
        </w:tc>
        <w:tc>
          <w:tcPr>
            <w:tcW w:w="1064" w:type="dxa"/>
          </w:tcPr>
          <w:p w14:paraId="4B37784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FMRIB’s</w:t>
            </w:r>
          </w:p>
        </w:tc>
        <w:tc>
          <w:tcPr>
            <w:tcW w:w="1377" w:type="dxa"/>
          </w:tcPr>
          <w:p w14:paraId="2A0F2194"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63" w:type="dxa"/>
          </w:tcPr>
          <w:p w14:paraId="2187EB0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76514C1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3.5</w:t>
            </w:r>
          </w:p>
        </w:tc>
      </w:tr>
      <w:tr w:rsidR="003D1F45" w:rsidRPr="00101744" w14:paraId="03363105" w14:textId="77777777" w:rsidTr="00B60BB2">
        <w:trPr>
          <w:trHeight w:val="300"/>
        </w:trPr>
        <w:tc>
          <w:tcPr>
            <w:tcW w:w="2269" w:type="dxa"/>
            <w:noWrap/>
            <w:hideMark/>
          </w:tcPr>
          <w:p w14:paraId="6C88957B" w14:textId="4C7C7BAA"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{"citationItems":[{"id":"ITEM-1","itemData":{"DOI":"10.1016/j.neuron.2006.11.022","ISSN":"08966273","PMID":"17224409","abstract":"Activation of the horizontal segment of the intraparietal sulcus (hIPS) has been observed in various number-processing tasks, whether numbers were conveyed by symbolic numerals (digits, number words) or by nonsymbolic displays (dot patterns). This suggests an abstract coding of numerical magnitude. Here, we critically tested this hypothesis using fMRI adaptation to demonstrate notation-independent coding of numerical quantity in the hIPS. Once subjects were adapted either to dot patterns or to Arabic digits, activation in the hIPS and in frontal regions recovered in a distance-dependent fashion whenever a new number was presented, irrespective of notation changes. This remained unchanged when analyzing the hIPS peaks from an independent localizer scan of mental calculation. These results suggest an abstract coding of approximate number common to dots, digits, and number words. They support the idea that symbols acquire meaning by linking neural populations coding symbol shapes to those holding nonsymbolic representations of quantities.","author":[{"dropping-particle":"","family":"Piazza","given":"Manuela","non-dropping-particle":"","parse-names":false,"suffix":""},{"dropping-particle":"","family":"Pinel","given":"Philippe","non-dropping-particle":"","parse-names":false,"suffix":""},{"dropping-particle":"","family":"Bihan","given":"Denis","non-dropping-particle":"Le","parse-names":false,"suffix":""},{"dropping-particle":"","family":"Dehaene","given":"Stanislas","non-dropping-particle":"","parse-names":false,"suffix":""}],"container-title":"Neuron","id":"ITEM-1","issue":"2","issued":{"date-parts":[["2007","1","18"]]},"page":"293-305","title":"A Magnitude Code Common to Numerosities and Number Symbols in Human Intraparietal Cortex","type":"article-journal","volume":"53"},"uris":["http://www.mendeley.com/documents/?uuid=1034a5df-26f2-3aae-9d20-d51b2b9c9269"]}],"mendeley":{"formattedCitation":"(Piazza et al. 2007)","plainTextFormattedCitation":"(Piazza et al. 2007)","previouslyFormattedCitation":"&lt;sup&gt;108&lt;/sup&gt;"},"properties":{"noteIndex":0},"schema":"https://github.com/citation-style-language/schema/raw/master/csl-citation.json"}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(Piazza et al. 2007)</w:t>
            </w:r>
            <w:r w:rsidRPr="00101744">
              <w:rPr>
                <w:rFonts w:ascii="Arial" w:eastAsia="Times New Roman" w:hAnsi="Arial" w:cs="Arial"/>
                <w:color w:val="000000"/>
                <w:sz w:val="18"/>
                <w:szCs w:val="18"/>
                <w:lang w:val="en-US" w:eastAsia="pt-PT"/>
              </w:rPr>
              <w:fldChar w:fldCharType="end"/>
            </w:r>
          </w:p>
        </w:tc>
        <w:tc>
          <w:tcPr>
            <w:tcW w:w="709" w:type="dxa"/>
            <w:noWrap/>
            <w:hideMark/>
          </w:tcPr>
          <w:p w14:paraId="4EDB8D6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14</w:t>
            </w:r>
          </w:p>
        </w:tc>
        <w:tc>
          <w:tcPr>
            <w:tcW w:w="709" w:type="dxa"/>
            <w:noWrap/>
            <w:hideMark/>
          </w:tcPr>
          <w:p w14:paraId="57CCED8E"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571" w:type="dxa"/>
            <w:noWrap/>
            <w:hideMark/>
          </w:tcPr>
          <w:p w14:paraId="6BC23674" w14:textId="77777777" w:rsidR="003D1F45" w:rsidRPr="00101744" w:rsidRDefault="003D1F45" w:rsidP="00B60BB2">
            <w:pPr>
              <w:jc w:val="center"/>
              <w:rPr>
                <w:rFonts w:ascii="Arial" w:eastAsia="Times New Roman" w:hAnsi="Arial" w:cs="Arial"/>
                <w:sz w:val="18"/>
                <w:szCs w:val="18"/>
                <w:lang w:val="en-US" w:eastAsia="pt-PT"/>
              </w:rPr>
            </w:pPr>
          </w:p>
        </w:tc>
        <w:tc>
          <w:tcPr>
            <w:tcW w:w="704" w:type="dxa"/>
            <w:noWrap/>
            <w:hideMark/>
          </w:tcPr>
          <w:p w14:paraId="14AFE020" w14:textId="77777777" w:rsidR="003D1F45" w:rsidRPr="00101744" w:rsidRDefault="003D1F45" w:rsidP="00B60BB2">
            <w:pPr>
              <w:jc w:val="center"/>
              <w:rPr>
                <w:rFonts w:ascii="Arial" w:eastAsia="Times New Roman" w:hAnsi="Arial" w:cs="Arial"/>
                <w:sz w:val="18"/>
                <w:szCs w:val="18"/>
                <w:lang w:val="en-US" w:eastAsia="pt-PT"/>
              </w:rPr>
            </w:pPr>
          </w:p>
        </w:tc>
        <w:tc>
          <w:tcPr>
            <w:tcW w:w="843" w:type="dxa"/>
            <w:noWrap/>
            <w:hideMark/>
          </w:tcPr>
          <w:p w14:paraId="3A35F954" w14:textId="77777777" w:rsidR="003D1F45" w:rsidRPr="00101744" w:rsidRDefault="003D1F45" w:rsidP="00B60BB2">
            <w:pPr>
              <w:jc w:val="center"/>
              <w:rPr>
                <w:rFonts w:ascii="Arial" w:eastAsia="Times New Roman" w:hAnsi="Arial" w:cs="Arial"/>
                <w:sz w:val="18"/>
                <w:szCs w:val="18"/>
                <w:lang w:val="en-US" w:eastAsia="pt-PT"/>
              </w:rPr>
            </w:pPr>
          </w:p>
        </w:tc>
        <w:tc>
          <w:tcPr>
            <w:tcW w:w="2268" w:type="dxa"/>
            <w:gridSpan w:val="2"/>
            <w:noWrap/>
            <w:hideMark/>
          </w:tcPr>
          <w:p w14:paraId="43AACCD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w:t>
            </w:r>
          </w:p>
        </w:tc>
        <w:tc>
          <w:tcPr>
            <w:tcW w:w="708" w:type="dxa"/>
            <w:gridSpan w:val="2"/>
            <w:noWrap/>
            <w:hideMark/>
          </w:tcPr>
          <w:p w14:paraId="0A81B00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1710" w:type="dxa"/>
            <w:gridSpan w:val="2"/>
          </w:tcPr>
          <w:p w14:paraId="2C4A8E1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Bruker</w:t>
            </w:r>
          </w:p>
        </w:tc>
        <w:tc>
          <w:tcPr>
            <w:tcW w:w="1064" w:type="dxa"/>
          </w:tcPr>
          <w:p w14:paraId="43395C1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SPM2</w:t>
            </w:r>
          </w:p>
        </w:tc>
        <w:tc>
          <w:tcPr>
            <w:tcW w:w="1377" w:type="dxa"/>
          </w:tcPr>
          <w:p w14:paraId="0A8E1155"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Pcluster</w:t>
            </w:r>
            <w:proofErr w:type="spellEnd"/>
            <w:r w:rsidRPr="00101744">
              <w:rPr>
                <w:rFonts w:ascii="Arial" w:eastAsia="Times New Roman" w:hAnsi="Arial" w:cs="Arial"/>
                <w:color w:val="000000"/>
                <w:sz w:val="18"/>
                <w:szCs w:val="18"/>
                <w:lang w:val="en-US"/>
              </w:rPr>
              <w:t>&lt;0.05</w:t>
            </w:r>
          </w:p>
        </w:tc>
        <w:tc>
          <w:tcPr>
            <w:tcW w:w="663" w:type="dxa"/>
          </w:tcPr>
          <w:p w14:paraId="073BA7D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2400</w:t>
            </w:r>
          </w:p>
        </w:tc>
        <w:tc>
          <w:tcPr>
            <w:tcW w:w="1148" w:type="dxa"/>
          </w:tcPr>
          <w:p w14:paraId="16A2EBA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r>
      <w:tr w:rsidR="003D1F45" w:rsidRPr="00101744" w14:paraId="0B463D04" w14:textId="77777777" w:rsidTr="00B60BB2">
        <w:trPr>
          <w:trHeight w:val="300"/>
        </w:trPr>
        <w:tc>
          <w:tcPr>
            <w:tcW w:w="2269" w:type="dxa"/>
            <w:noWrap/>
            <w:hideMark/>
          </w:tcPr>
          <w:p w14:paraId="510342C4" w14:textId="15A62FF7"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{"citationItems":[{"id":"ITEM-1","itemData":{"DOI":"10.1016/j.neuropsychologia.2004.08.005","ISSN":"00283932","PMID":"15721187","abstract":"Recent evidence suggests that areas in and around the intraparietal sulcus (IPS) represent magnitude in a stimulus-independent format. However, it has not been established whether the same is true for mental arithmetic or whether activation for higher level numerical processing diverges as a function of stimulus format. We addressed this question in a functional imaging study by presenting participants with simple addition problems using both symbolic (Arabic numerals) and non-symbolic (arrays of dots) stimuli. Conjunction analysis revealed common neural substrates for symbolic and non-symbolic addition in the anterior IPS bilaterally, left posterior IPS, medial frontal gyrus and left precentral gyrus. Right parietal and frontal cortex showed greater activation for non-symbolic addition. Our results demonstrate that mental arithmetic, studied using addition problems, is processed within the IPS independent of stimulus form. Additionally we examined whether exact and approximate addition conditions activated different neural substrates as a function of stimulus format. We did not find any differences between exact and approximate addition using symbolic and non-symbolic stimuli. This could be due to the inability of the participants to suppress exact calculation for single-digit addition problems. In contrast to recent findings, we found no significant activation for exact addition condition in left, language-related areas.","author":[{"dropping-particle":"","family":"Venkatraman","given":"Vinod","non-dropping-particle":"","parse-names":false,"suffix":""},{"dropping-particle":"","family":"Ansari","given":"Daniel","non-dropping-particle":"","parse-names":false,"suffix":""},{"dropping-particle":"","family":"Chee","given":"Michael W.L.","non-dropping-particle":"","parse-names":false,"suffix":""}],"container-title":"Neuropsychologia","id":"ITEM-1","issue":"5","issued":{"date-parts":[["2005","1"]]},"page":"744-753","title":"Neural correlates of symbolic and non-symbolic arithmetic","type":"article-journal","volume":"43"},"uris":["http://www.mendeley.com/documents/?uuid=2cbf7cdd-6ae9-3d22-a12e-bf58893336fd"]}],"mendeley":{"formattedCitation":"(Venkatraman, Ansari, and Chee 2005)","plainTextFormattedCitation":"(Venkatraman, Ansari, and Chee 2005)","previouslyFormattedCitation":"&lt;sup&gt;109&lt;/sup&gt;"},"properties":{"noteIndex":0},"schema":"https://github.com/citation-style-language/schema/raw/master/csl-citation.json"}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(Venkatraman, Ansari, and Chee 2005)</w:t>
            </w:r>
            <w:r w:rsidRPr="00101744">
              <w:rPr>
                <w:rFonts w:ascii="Arial" w:eastAsia="Times New Roman" w:hAnsi="Arial" w:cs="Arial"/>
                <w:color w:val="000000"/>
                <w:sz w:val="18"/>
                <w:szCs w:val="18"/>
                <w:lang w:val="en-US" w:eastAsia="pt-PT"/>
              </w:rPr>
              <w:fldChar w:fldCharType="end"/>
            </w:r>
          </w:p>
        </w:tc>
        <w:tc>
          <w:tcPr>
            <w:tcW w:w="709" w:type="dxa"/>
            <w:noWrap/>
            <w:hideMark/>
          </w:tcPr>
          <w:p w14:paraId="05252AA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709" w:type="dxa"/>
            <w:noWrap/>
            <w:hideMark/>
          </w:tcPr>
          <w:p w14:paraId="7DE22427"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571" w:type="dxa"/>
            <w:noWrap/>
            <w:hideMark/>
          </w:tcPr>
          <w:p w14:paraId="6791E40D" w14:textId="77777777" w:rsidR="003D1F45" w:rsidRPr="00101744" w:rsidRDefault="003D1F45" w:rsidP="00B60BB2">
            <w:pPr>
              <w:jc w:val="center"/>
              <w:rPr>
                <w:rFonts w:ascii="Arial" w:eastAsia="Times New Roman" w:hAnsi="Arial" w:cs="Arial"/>
                <w:sz w:val="18"/>
                <w:szCs w:val="18"/>
                <w:lang w:val="en-US" w:eastAsia="pt-PT"/>
              </w:rPr>
            </w:pPr>
          </w:p>
        </w:tc>
        <w:tc>
          <w:tcPr>
            <w:tcW w:w="704" w:type="dxa"/>
            <w:noWrap/>
            <w:hideMark/>
          </w:tcPr>
          <w:p w14:paraId="62E6B889" w14:textId="77777777" w:rsidR="003D1F45" w:rsidRPr="00101744" w:rsidRDefault="003D1F45" w:rsidP="00B60BB2">
            <w:pPr>
              <w:jc w:val="center"/>
              <w:rPr>
                <w:rFonts w:ascii="Arial" w:eastAsia="Times New Roman" w:hAnsi="Arial" w:cs="Arial"/>
                <w:sz w:val="18"/>
                <w:szCs w:val="18"/>
                <w:lang w:val="en-US" w:eastAsia="pt-PT"/>
              </w:rPr>
            </w:pPr>
          </w:p>
        </w:tc>
        <w:tc>
          <w:tcPr>
            <w:tcW w:w="843" w:type="dxa"/>
            <w:noWrap/>
            <w:hideMark/>
          </w:tcPr>
          <w:p w14:paraId="48425C9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20-25</w:t>
            </w:r>
          </w:p>
        </w:tc>
        <w:tc>
          <w:tcPr>
            <w:tcW w:w="2268" w:type="dxa"/>
            <w:gridSpan w:val="2"/>
            <w:noWrap/>
            <w:hideMark/>
          </w:tcPr>
          <w:p w14:paraId="34E74AF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Counting/Calculation</w:t>
            </w:r>
          </w:p>
        </w:tc>
        <w:tc>
          <w:tcPr>
            <w:tcW w:w="708" w:type="dxa"/>
            <w:gridSpan w:val="2"/>
            <w:noWrap/>
            <w:hideMark/>
          </w:tcPr>
          <w:p w14:paraId="28331F4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51</w:t>
            </w:r>
          </w:p>
        </w:tc>
        <w:tc>
          <w:tcPr>
            <w:tcW w:w="1710" w:type="dxa"/>
            <w:gridSpan w:val="2"/>
          </w:tcPr>
          <w:p w14:paraId="4C448A5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Allegra Siemens</w:t>
            </w:r>
          </w:p>
        </w:tc>
        <w:tc>
          <w:tcPr>
            <w:tcW w:w="1064" w:type="dxa"/>
          </w:tcPr>
          <w:p w14:paraId="7C7BFC6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Brainvoyager2000</w:t>
            </w:r>
          </w:p>
        </w:tc>
        <w:tc>
          <w:tcPr>
            <w:tcW w:w="1377" w:type="dxa"/>
          </w:tcPr>
          <w:p w14:paraId="3B8DE7BC"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&lt;0.001</w:t>
            </w:r>
          </w:p>
        </w:tc>
        <w:tc>
          <w:tcPr>
            <w:tcW w:w="663" w:type="dxa"/>
          </w:tcPr>
          <w:p w14:paraId="4DFFF0B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3000</w:t>
            </w:r>
          </w:p>
        </w:tc>
        <w:tc>
          <w:tcPr>
            <w:tcW w:w="1148" w:type="dxa"/>
          </w:tcPr>
          <w:p w14:paraId="6EC15E2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r>
      <w:tr w:rsidR="003D1F45" w:rsidRPr="00101744" w14:paraId="4D732781" w14:textId="77777777" w:rsidTr="00B60BB2">
        <w:trPr>
          <w:trHeight w:val="300"/>
        </w:trPr>
        <w:tc>
          <w:tcPr>
            <w:tcW w:w="2269" w:type="dxa"/>
            <w:noWrap/>
            <w:hideMark/>
          </w:tcPr>
          <w:p w14:paraId="209F6825" w14:textId="379C3C57"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lastRenderedPageBreak/>
              <w:fldChar w:fldCharType="begin" w:fldLock="1"/>
            </w:r>
            <w:r w:rsidR="00C14016" w:rsidRPr="00C14016">
              <w:rPr>
                <w:rFonts w:ascii="Arial" w:hAnsi="Arial" w:cs="Arial"/>
                <w:color w:val="000000"/>
                <w:sz w:val="18"/>
                <w:szCs w:val="18"/>
                <w:lang w:val="en-GB" w:eastAsia="pt-PT"/>
              </w:rPr>
              <w:instrText>ADDIN CSL_CITATION {"citationItems":[{"id":"ITEM-1","itemData":{"DOI":"10.1016/j.neuroimage.2013.10.049","ISSN":"10538119","PMID":"24201011","abstract":"Neuroimaging studies in the last 20 years have tried to unravel the neural correlates of number processing across formats in humans and non-human primates. Results point to the intraparietal sulcus as the core area for an abstract representation of numerical quantity. On the other hand, there exist a variety of behavioral and neuroimaging data that are difficult to reconcile with the existence of such an abstract representation. In this study, we addressed this issue by applying multi-voxel pattern analysis (MVPA) to functional Magnetic Resonance Imaging (fMRI) data to unravel the neural representations of symbolic (digits) and non-symbolic (dots) numbers and their possible overlap on three different spatial scales (entire lobules, smaller regions of interest and a searchlight analysis with 2-voxel radius). Results showed that numbers in both formats are decodable in occipital, frontal, temporal and parietal regions. However, there were no overlapping representations between dots and digits on any of the spatial scales. These data suggest that the human brain does not contain an abstract representation of numerical magnitude.","author":[{"dropping-particle":"","family":"Bulthé","given":"J.","non-dropping-particle":"","parse-names":false,"suffix":""},{"dropping-particle":"","family":"Smedt","given":"B.","non-dropping-particle":"De","parse-names":false,"suffix":""},{"dropping-particle":"","family":"Beeck","given":"H.P.","non-dropping-particle":"Op de","parse-names":false,"suffix":""}],"container-title":"NeuroImage","id":"ITEM-1","issued":{"date-parts":[["2014","2","15"]]},"page":"311-322","title":"Format-dependent representations of symbolic and non-symbolic numbers in the human cortex as revealed by multi-voxel pattern analyses","type":"article-journal","volume":"87"},"uris":["http://www.mendeley.com/documents/?uuid=4d00cc99-3f1e-3ee6-9be0-15f589a9fa9a"]}],"mendeley":{"formattedCitation":"(Bulthé, De Smedt, and Op de Beeck 2014)","plainTextFormattedCitation":"(Bulthé, De Smedt, and Op de Beeck 2014)","previouslyFormattedCitation":"&lt;sup&gt;110&lt;/sup&gt;"},"properties":{"noteIndex":0},"schema":"https://github.com/citation-style-language/schema/raw/master/csl-citation.json"}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(Bulthé, De Smedt, and Op de Beeck 2014)</w:t>
            </w:r>
            <w:r w:rsidRPr="00101744">
              <w:rPr>
                <w:rFonts w:ascii="Arial" w:eastAsia="Times New Roman" w:hAnsi="Arial" w:cs="Arial"/>
                <w:color w:val="000000"/>
                <w:sz w:val="18"/>
                <w:szCs w:val="18"/>
                <w:lang w:val="en-US" w:eastAsia="pt-PT"/>
              </w:rPr>
              <w:fldChar w:fldCharType="end"/>
            </w:r>
          </w:p>
        </w:tc>
        <w:tc>
          <w:tcPr>
            <w:tcW w:w="709" w:type="dxa"/>
            <w:noWrap/>
            <w:hideMark/>
          </w:tcPr>
          <w:p w14:paraId="1E6B14E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14</w:t>
            </w:r>
          </w:p>
        </w:tc>
        <w:tc>
          <w:tcPr>
            <w:tcW w:w="709" w:type="dxa"/>
            <w:noWrap/>
            <w:hideMark/>
          </w:tcPr>
          <w:p w14:paraId="0D0EBED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w:t>
            </w:r>
          </w:p>
        </w:tc>
        <w:tc>
          <w:tcPr>
            <w:tcW w:w="571" w:type="dxa"/>
            <w:noWrap/>
            <w:hideMark/>
          </w:tcPr>
          <w:p w14:paraId="09BCD3F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12</w:t>
            </w:r>
          </w:p>
        </w:tc>
        <w:tc>
          <w:tcPr>
            <w:tcW w:w="704" w:type="dxa"/>
            <w:noWrap/>
            <w:hideMark/>
          </w:tcPr>
          <w:p w14:paraId="2C1B8C1C"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843" w:type="dxa"/>
            <w:noWrap/>
            <w:hideMark/>
          </w:tcPr>
          <w:p w14:paraId="37DAD38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21-28</w:t>
            </w:r>
          </w:p>
        </w:tc>
        <w:tc>
          <w:tcPr>
            <w:tcW w:w="2268" w:type="dxa"/>
            <w:gridSpan w:val="2"/>
            <w:noWrap/>
            <w:hideMark/>
          </w:tcPr>
          <w:p w14:paraId="60F2D01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 (subtraction)</w:t>
            </w:r>
          </w:p>
        </w:tc>
        <w:tc>
          <w:tcPr>
            <w:tcW w:w="708" w:type="dxa"/>
            <w:gridSpan w:val="2"/>
            <w:noWrap/>
            <w:hideMark/>
          </w:tcPr>
          <w:p w14:paraId="5E25021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w:t>
            </w:r>
          </w:p>
        </w:tc>
        <w:tc>
          <w:tcPr>
            <w:tcW w:w="1710" w:type="dxa"/>
            <w:gridSpan w:val="2"/>
          </w:tcPr>
          <w:p w14:paraId="4CCD944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3T </w:t>
            </w:r>
            <w:proofErr w:type="spellStart"/>
            <w:r w:rsidRPr="00101744">
              <w:rPr>
                <w:rFonts w:ascii="Arial" w:eastAsia="Times New Roman" w:hAnsi="Arial" w:cs="Arial"/>
                <w:color w:val="000000"/>
                <w:sz w:val="18"/>
                <w:szCs w:val="18"/>
                <w:lang w:val="en-US"/>
              </w:rPr>
              <w:t>Intera</w:t>
            </w:r>
            <w:proofErr w:type="spellEnd"/>
            <w:r w:rsidRPr="00101744">
              <w:rPr>
                <w:rFonts w:ascii="Arial" w:eastAsia="Times New Roman" w:hAnsi="Arial" w:cs="Arial"/>
                <w:color w:val="000000"/>
                <w:sz w:val="18"/>
                <w:szCs w:val="18"/>
                <w:lang w:val="en-US"/>
              </w:rPr>
              <w:t xml:space="preserve"> Philips</w:t>
            </w:r>
          </w:p>
        </w:tc>
        <w:tc>
          <w:tcPr>
            <w:tcW w:w="1064" w:type="dxa"/>
          </w:tcPr>
          <w:p w14:paraId="05BF426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SPM8</w:t>
            </w:r>
          </w:p>
        </w:tc>
        <w:tc>
          <w:tcPr>
            <w:tcW w:w="1377" w:type="dxa"/>
          </w:tcPr>
          <w:p w14:paraId="15639A54"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63" w:type="dxa"/>
          </w:tcPr>
          <w:p w14:paraId="2924366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3000</w:t>
            </w:r>
          </w:p>
        </w:tc>
        <w:tc>
          <w:tcPr>
            <w:tcW w:w="1148" w:type="dxa"/>
          </w:tcPr>
          <w:p w14:paraId="6D46BAA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2.1</w:t>
            </w:r>
          </w:p>
        </w:tc>
      </w:tr>
      <w:tr w:rsidR="003D1F45" w:rsidRPr="00101744" w14:paraId="72D303FF" w14:textId="77777777" w:rsidTr="00B60BB2">
        <w:trPr>
          <w:trHeight w:val="300"/>
        </w:trPr>
        <w:tc>
          <w:tcPr>
            <w:tcW w:w="2269" w:type="dxa"/>
            <w:noWrap/>
            <w:hideMark/>
          </w:tcPr>
          <w:p w14:paraId="55BF5881" w14:textId="59190FA9"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{"citationItems":[{"id":"ITEM-1","itemData":{"DOI":"10.1016/j.cub.2009.08.047","ISSN":"09609822","PMID":"19781939","abstract":"BACKGROUND Neuropsychology and human functional neuroimaging have implicated human parietal cortex in numerical processing, and macaque electrophysiology has shown that intraparietal areas house neurons tuned to numerosity. Yet although the areas responding overall during numerical tasks have been well defined by neuroimaging, a direct demonstration of individual number coding by spatial patterns has thus far been elusive. RESULTS We used multivariate pattern recognition on high-resolution functional imaging data to decode the information content of fine-scale signals evoked by different individual numbers. Parietal activation patterns for individual numerosities could be accurately discriminated and generalized across changes in low-level stimulus parameters. Distinct patterns were evoked by symbolic and nonsymbolic number formats, and individual digits were less accurately decoded (albeit still with significant accuracy) than numbers of dots. Interestingly, the numerosity of dot sets could be predicted above chance from the brain activation patterns evoked by digits, but not vice versa. Finally, number-evoked patterns changed in a gradual fashion as a function of numerical distance for the nonsymbolic notation, compatible with some degree of orderly layout of individual number representations. CONCLUSIONS Our findings demonstrate partial format invariance of individual number codes that is compatible with more numerous but more broadly tuned populations for nonsymbolic than for symbolic numbers, as postulated by recent computational models. In more general terms, our results illustrate the potential of functional magnetic resonance imaging pattern recognition to understand the detail</w:instrText>
            </w:r>
            <w:r w:rsidR="00C14016" w:rsidRPr="00C14016">
              <w:rPr>
                <w:rFonts w:ascii="Arial" w:hAnsi="Arial" w:cs="Arial"/>
                <w:color w:val="000000"/>
                <w:sz w:val="18"/>
                <w:szCs w:val="18"/>
                <w:lang w:val="en-GB" w:eastAsia="pt-PT"/>
              </w:rPr>
              <w:instrText>ed format of representations within a single semantic category, and beyond sensory cortical areas for which columnar architectures are well established.","author":[{"dropping-particle":"","family":"Eger","given":"Evelyn","non-dropping-particle":"","parse-names":false,"suffix":""},{"dropping-particle":"","family":"Michel","given":"Vincent","non-dropping-particle":"","parse-names":false,"suffix":""},{"dropping-particle":"","family":"Thirion","given":"Bertrand","non-dropping-particle":"","parse-names":false,"suffix":""},{"dropping-particle":"","family":"Amadon","given":"Alexis","non-dropping-particle":"","parse-names":false,"suffix":""},{"dropping-particle":"","family":"Dehaene","given":"Stanislas","non-dropping-particle":"","parse-names":false,"suffix":""},{"dropping-particle":"","family":"Kleinschmidt","given":"Andreas","non-dropping-particle":"","parse-names":false,"suffix":""}],"container-title":"Current Biology","id":"ITEM-1","issue":"19","issued":{"date-parts":[["2009","10","13"]]},"page":"1608-1615","title":"Deciphering Cortical Number Coding from Human Brain Activity Patterns","type":"article-journal","volume":"19"},"uris":["http://www.mendeley.com/documents/?uuid=5e4027a7-8626-36bd-92b0-b031d311bb28"]}],"mendeley":{"formattedCitation":"(Eger et al. 2009)","plainTextFormattedCitation":"(Eger et al. 2009)","previouslyFormattedCitation":"&lt;sup&gt;111&lt;/sup&gt;"},"properties":{"noteIndex":0},"schema":"https://github.com/citation-style-language/schema/raw/master/csl-citation.json"}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(Eger et al. 2009)</w:t>
            </w:r>
            <w:r w:rsidRPr="00101744">
              <w:rPr>
                <w:rFonts w:ascii="Arial" w:eastAsia="Times New Roman" w:hAnsi="Arial" w:cs="Arial"/>
                <w:color w:val="000000"/>
                <w:sz w:val="18"/>
                <w:szCs w:val="18"/>
                <w:lang w:val="en-US" w:eastAsia="pt-PT"/>
              </w:rPr>
              <w:fldChar w:fldCharType="end"/>
            </w:r>
          </w:p>
        </w:tc>
        <w:tc>
          <w:tcPr>
            <w:tcW w:w="709" w:type="dxa"/>
            <w:noWrap/>
            <w:hideMark/>
          </w:tcPr>
          <w:p w14:paraId="28B3222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709" w:type="dxa"/>
            <w:noWrap/>
            <w:hideMark/>
          </w:tcPr>
          <w:p w14:paraId="7B3140F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w:t>
            </w:r>
          </w:p>
        </w:tc>
        <w:tc>
          <w:tcPr>
            <w:tcW w:w="571" w:type="dxa"/>
            <w:noWrap/>
            <w:hideMark/>
          </w:tcPr>
          <w:p w14:paraId="2B9598E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w:t>
            </w:r>
          </w:p>
        </w:tc>
        <w:tc>
          <w:tcPr>
            <w:tcW w:w="704" w:type="dxa"/>
            <w:noWrap/>
            <w:hideMark/>
          </w:tcPr>
          <w:p w14:paraId="251680C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23</w:t>
            </w:r>
          </w:p>
        </w:tc>
        <w:tc>
          <w:tcPr>
            <w:tcW w:w="843" w:type="dxa"/>
            <w:noWrap/>
            <w:hideMark/>
          </w:tcPr>
          <w:p w14:paraId="6B560224"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5D9D085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Counting/Calculation</w:t>
            </w:r>
          </w:p>
        </w:tc>
        <w:tc>
          <w:tcPr>
            <w:tcW w:w="708" w:type="dxa"/>
            <w:gridSpan w:val="2"/>
            <w:noWrap/>
            <w:hideMark/>
          </w:tcPr>
          <w:p w14:paraId="6C56467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18</w:t>
            </w:r>
          </w:p>
        </w:tc>
        <w:tc>
          <w:tcPr>
            <w:tcW w:w="1710" w:type="dxa"/>
            <w:gridSpan w:val="2"/>
          </w:tcPr>
          <w:p w14:paraId="44DA91B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Tim Trio Siemens</w:t>
            </w:r>
          </w:p>
        </w:tc>
        <w:tc>
          <w:tcPr>
            <w:tcW w:w="1064" w:type="dxa"/>
          </w:tcPr>
          <w:p w14:paraId="1015A3D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SPM5</w:t>
            </w:r>
          </w:p>
        </w:tc>
        <w:tc>
          <w:tcPr>
            <w:tcW w:w="1377" w:type="dxa"/>
          </w:tcPr>
          <w:p w14:paraId="293BB1C5"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663" w:type="dxa"/>
          </w:tcPr>
          <w:p w14:paraId="721FA8A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2500</w:t>
            </w:r>
          </w:p>
        </w:tc>
        <w:tc>
          <w:tcPr>
            <w:tcW w:w="1148" w:type="dxa"/>
          </w:tcPr>
          <w:p w14:paraId="439629E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w:t>
            </w:r>
          </w:p>
        </w:tc>
      </w:tr>
      <w:tr w:rsidR="003D1F45" w:rsidRPr="00101744" w14:paraId="45A0C9B2" w14:textId="77777777" w:rsidTr="00B60BB2">
        <w:trPr>
          <w:trHeight w:val="300"/>
        </w:trPr>
        <w:tc>
          <w:tcPr>
            <w:tcW w:w="2269" w:type="dxa"/>
            <w:noWrap/>
            <w:hideMark/>
          </w:tcPr>
          <w:p w14:paraId="244D2F7F" w14:textId="1DAD020A"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{"citationItems":[{"id":"ITEM-1","itemData":{"DOI":"10.1162/0898929042568442","ISSN":"0898-929X","PMID":"15601517","abstract":"Neuroimaging studies of number comparison have consistently found activation in the intraparietal sulcus (IPS). Recently, it has been suggested that activations in the IPS vary with the distance between the numbers being compared. In number comparison, the smaller the distance between a number and the reference the longer the reaction time (RT ). Activations in the right or left IPS, however, have also been related to attentional and intentional selection. It is possible, therefore, that activity in this region is a reflection of the more basic stimulus and response-selection processes associated with changes in RT. This fMRI experiment investigated the effect of numerical distance independently from RT. In addition, activations during number comparison of single-digit and double-digit stimuli were compared. During number comparison blocks, subjects had to indicate whether digits were greater or smaller than a reference (5 or 65). In control blocks, they were asked to perform a perceptual task (vertical line present/absent) on either numerical or nonnumerical stimuli. Number comparison versus rest yielded a large bilateral parietal-posterior frontal network. However, no areas showed more activation during number comparison than during the con</w:instrText>
            </w:r>
            <w:r w:rsidR="00C14016">
              <w:rPr>
                <w:rFonts w:ascii="Arial" w:hAnsi="Arial" w:cs="Arial"/>
                <w:color w:val="000000"/>
                <w:sz w:val="18"/>
                <w:szCs w:val="18"/>
                <w:lang w:eastAsia="pt-PT"/>
              </w:rPr>
              <w:instrText>trol tasks. Furthermore, no areas were more active during comparison of numbers separated by a small distance than comparisons of those separated by a large distance or vice versa. A left-lateralized parietal-posterior frontal network varied significantly with RT. Our findings suggest that magnitude and numerical-distance-related IPS activations might be difficult to separate f</w:instrText>
            </w:r>
            <w:r w:rsidR="00C14016" w:rsidRPr="00C14016">
              <w:rPr>
                <w:rFonts w:ascii="Arial" w:hAnsi="Arial" w:cs="Arial"/>
                <w:color w:val="000000"/>
                <w:sz w:val="18"/>
                <w:szCs w:val="18"/>
                <w:lang w:val="en-GB" w:eastAsia="pt-PT"/>
              </w:rPr>
              <w:instrText>rom fundamental stimulus and response-selection processes associated with RT changes. As is the case with other parameters, such as space, magnitude may be represented in the context of response selection in the parietal cortex. In this respect, the representation of magnitude in the human IPS may be similar to the representation of magnitude in other nonhuman primates.","author":[{"dropping-particle":"","family":"Göbel","given":"Silke M.","non-dropping-particle":"","parse-names":false,"suffix":""},{"dropping-particle":"","family":"Johansen-Berg","given":"Heidi","non-dropping-particle":"","parse-names":false,"suffix":""},{"dropping-particle":"","family":"Behrens","given":"Tim","non-dropping-particle":"","parse-names":false,"suffix":""},{"dropping-particle":"","family":"Rushworth","given":"Matthew F. S.","non-dropping-particle":"","parse-names":false,"suffix":""}],"container-title":"Journal of Cognitive Neuroscience","id":"ITEM-1","issue":"9","issued":{"date-parts":[["2004","11"]]},"page":"1536-1551","title":"Response-Selection-Related Parietal Activation during Number Comparison","type":"article-journal","volume":"16"},"uris":["http://www.mendeley.com/documents/?uuid=2115c290-ea7f-3f46-8a17-cbd1067210cc"]}],"mendeley":{"formattedCitation":"(Göbel et al. 2004)","plainTextFormattedCitation":"(Göbel et al. 2004)","previouslyFormattedCitation":"&lt;sup&gt;112&lt;/sup&gt;"},"properties":{"noteIndex":0},"schema":"https://github.com/citation-style-language/schema/raw/master/csl-citation.json"}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(Göbel et al. 2004)</w:t>
            </w:r>
            <w:r w:rsidRPr="00101744">
              <w:rPr>
                <w:rFonts w:ascii="Arial" w:eastAsia="Times New Roman" w:hAnsi="Arial" w:cs="Arial"/>
                <w:color w:val="000000"/>
                <w:sz w:val="18"/>
                <w:szCs w:val="18"/>
                <w:lang w:val="en-US" w:eastAsia="pt-PT"/>
              </w:rPr>
              <w:fldChar w:fldCharType="end"/>
            </w:r>
          </w:p>
        </w:tc>
        <w:tc>
          <w:tcPr>
            <w:tcW w:w="709" w:type="dxa"/>
            <w:noWrap/>
            <w:hideMark/>
          </w:tcPr>
          <w:p w14:paraId="4023D74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12</w:t>
            </w:r>
          </w:p>
        </w:tc>
        <w:tc>
          <w:tcPr>
            <w:tcW w:w="709" w:type="dxa"/>
            <w:noWrap/>
            <w:hideMark/>
          </w:tcPr>
          <w:p w14:paraId="3A079FB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571" w:type="dxa"/>
            <w:noWrap/>
            <w:hideMark/>
          </w:tcPr>
          <w:p w14:paraId="5186AA7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704" w:type="dxa"/>
            <w:noWrap/>
            <w:hideMark/>
          </w:tcPr>
          <w:p w14:paraId="3646443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27</w:t>
            </w:r>
          </w:p>
        </w:tc>
        <w:tc>
          <w:tcPr>
            <w:tcW w:w="843" w:type="dxa"/>
            <w:noWrap/>
            <w:hideMark/>
          </w:tcPr>
          <w:p w14:paraId="40B2BEA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20-34</w:t>
            </w:r>
          </w:p>
        </w:tc>
        <w:tc>
          <w:tcPr>
            <w:tcW w:w="2268" w:type="dxa"/>
            <w:gridSpan w:val="2"/>
            <w:noWrap/>
            <w:hideMark/>
          </w:tcPr>
          <w:p w14:paraId="2449D98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Number comparison</w:t>
            </w:r>
          </w:p>
        </w:tc>
        <w:tc>
          <w:tcPr>
            <w:tcW w:w="708" w:type="dxa"/>
            <w:gridSpan w:val="2"/>
            <w:noWrap/>
            <w:hideMark/>
          </w:tcPr>
          <w:p w14:paraId="4029D77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37</w:t>
            </w:r>
          </w:p>
        </w:tc>
        <w:tc>
          <w:tcPr>
            <w:tcW w:w="1710" w:type="dxa"/>
            <w:gridSpan w:val="2"/>
          </w:tcPr>
          <w:p w14:paraId="203CEE5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3T </w:t>
            </w:r>
            <w:proofErr w:type="spellStart"/>
            <w:r w:rsidRPr="00101744">
              <w:rPr>
                <w:rFonts w:ascii="Arial" w:eastAsia="Times New Roman" w:hAnsi="Arial" w:cs="Arial"/>
                <w:color w:val="000000"/>
                <w:sz w:val="18"/>
                <w:szCs w:val="18"/>
                <w:lang w:val="en-US"/>
              </w:rPr>
              <w:t>Inova</w:t>
            </w:r>
            <w:proofErr w:type="spellEnd"/>
            <w:r w:rsidRPr="00101744">
              <w:rPr>
                <w:rFonts w:ascii="Arial" w:eastAsia="Times New Roman" w:hAnsi="Arial" w:cs="Arial"/>
                <w:color w:val="000000"/>
                <w:sz w:val="18"/>
                <w:szCs w:val="18"/>
                <w:lang w:val="en-US"/>
              </w:rPr>
              <w:t xml:space="preserve"> Varian</w:t>
            </w:r>
          </w:p>
        </w:tc>
        <w:tc>
          <w:tcPr>
            <w:tcW w:w="1064" w:type="dxa"/>
          </w:tcPr>
          <w:p w14:paraId="5C914DB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FMRIB FSL</w:t>
            </w:r>
          </w:p>
        </w:tc>
        <w:tc>
          <w:tcPr>
            <w:tcW w:w="1377" w:type="dxa"/>
          </w:tcPr>
          <w:p w14:paraId="4D5F167C"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Pcluster</w:t>
            </w:r>
            <w:proofErr w:type="spellEnd"/>
            <w:r w:rsidRPr="00101744">
              <w:rPr>
                <w:rFonts w:ascii="Arial" w:eastAsia="Times New Roman" w:hAnsi="Arial" w:cs="Arial"/>
                <w:color w:val="000000"/>
                <w:sz w:val="18"/>
                <w:szCs w:val="18"/>
                <w:lang w:val="en-US"/>
              </w:rPr>
              <w:t>&lt;0.01</w:t>
            </w:r>
          </w:p>
        </w:tc>
        <w:tc>
          <w:tcPr>
            <w:tcW w:w="663" w:type="dxa"/>
          </w:tcPr>
          <w:p w14:paraId="53EE64F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3000</w:t>
            </w:r>
          </w:p>
        </w:tc>
        <w:tc>
          <w:tcPr>
            <w:tcW w:w="1148" w:type="dxa"/>
          </w:tcPr>
          <w:p w14:paraId="7BA35FD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w:t>
            </w:r>
          </w:p>
        </w:tc>
      </w:tr>
      <w:tr w:rsidR="003D1F45" w:rsidRPr="00101744" w14:paraId="20A6DECD" w14:textId="77777777" w:rsidTr="00B60BB2">
        <w:trPr>
          <w:trHeight w:val="300"/>
        </w:trPr>
        <w:tc>
          <w:tcPr>
            <w:tcW w:w="2269" w:type="dxa"/>
            <w:noWrap/>
            <w:hideMark/>
          </w:tcPr>
          <w:p w14:paraId="44667E9E" w14:textId="5AD76FB8"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{"citationItems":[{"id":"ITEM-1","itemData":{"ISSN":"0959-4965","PMID":"10380965","abstract":"Cerebral activity during number comparison was studied with functional magnetic resonance imaging using an event-related design. We identified an extended network of task-related areas that showed a phasic activation following each trial, including anterior cingulate, bilateral sensorimotor areas, inferior occipito-temporal cortices, posterior parietal cortices, inferior and dorsolateral prefrontal cortices, and thalami. We then tested which of these areas were affected by number notation, numerical distance and response side, three variables that specifically target processes of visual identification, quantity manipulation and motor response in a serial-stage model of the number comparison task. Our results confirm the role of the right fusiform gyrus in digit identification processes, and of the inferior parietal lobule in the internal manipulation of numerical quantities.","author":[{"dropping-particle":"","family":"Pinel","given":"P","non-dropping-particle":"","parse-names":false,"suffix":""},{"dropping-particle":"","family":"Clec'H","given":"G","non-dropping-particle":"Le","parse-names":false,"suffix":""},{"dropping-particle":"","family":"Moortele","given":"P F","non-dropping-particle":"van de","parse-names":false,"suffix":""},{"dropping-particle":"","fam</w:instrText>
            </w:r>
            <w:r w:rsidR="00C14016">
              <w:rPr>
                <w:rFonts w:ascii="Arial" w:hAnsi="Arial" w:cs="Arial"/>
                <w:color w:val="000000"/>
                <w:sz w:val="18"/>
                <w:szCs w:val="18"/>
                <w:lang w:eastAsia="pt-PT"/>
              </w:rPr>
              <w:instrText>ily":"Naccache","given":"L","non-dropping-particle":"","parse-names":false,"suffix":""},{"dropping-particle":"","family":"Bihan","given":"D","non-dropping-particle":"Le","parse-names":false,"suffix":""},{"dropping-particle":"","family":"Dehaene","given":"S","non-dropping-particle":"","parse-names":false,"suffix":""}],"container-title":"Neuroreport","id":"ITEM-1","issue":"7","issued":{"date-parts":[["1999","5","14"]]},"page":"1473-9","title":"Event-related fMRI analysis of the cerebral circuit for number comparison.","type":"article-journal","volume":"10"},"uris":["http://www.mendeley.com/documents/?uuid=2f655277-8ed3-3f8c-a88f-061b40a7ba24"]}],"mendeley":{"formattedCitation":"(P Pinel et al. 1999)","plainTextFormattedCitation":"(P Pinel et al. 1999)","previouslyFormattedCitation":"&lt;sup&gt;113&lt;/sup&gt;"},"properties":{"noteIndex":0},"schema":"https://github.com/citation-style-language/schema/raw/master/csl-citation.json"}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(P Pinel et al. 1999)</w:t>
            </w:r>
            <w:r w:rsidRPr="00101744">
              <w:rPr>
                <w:rFonts w:ascii="Arial" w:eastAsia="Times New Roman" w:hAnsi="Arial" w:cs="Arial"/>
                <w:color w:val="000000"/>
                <w:sz w:val="18"/>
                <w:szCs w:val="18"/>
                <w:lang w:val="en-US" w:eastAsia="pt-PT"/>
              </w:rPr>
              <w:fldChar w:fldCharType="end"/>
            </w:r>
          </w:p>
        </w:tc>
        <w:tc>
          <w:tcPr>
            <w:tcW w:w="709" w:type="dxa"/>
            <w:noWrap/>
            <w:hideMark/>
          </w:tcPr>
          <w:p w14:paraId="2B143BC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11</w:t>
            </w:r>
          </w:p>
        </w:tc>
        <w:tc>
          <w:tcPr>
            <w:tcW w:w="709" w:type="dxa"/>
            <w:noWrap/>
            <w:hideMark/>
          </w:tcPr>
          <w:p w14:paraId="42462CF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9</w:t>
            </w:r>
          </w:p>
        </w:tc>
        <w:tc>
          <w:tcPr>
            <w:tcW w:w="571" w:type="dxa"/>
            <w:noWrap/>
            <w:hideMark/>
          </w:tcPr>
          <w:p w14:paraId="1937DA3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w:t>
            </w:r>
          </w:p>
        </w:tc>
        <w:tc>
          <w:tcPr>
            <w:tcW w:w="704" w:type="dxa"/>
            <w:noWrap/>
            <w:hideMark/>
          </w:tcPr>
          <w:p w14:paraId="0EBC668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26</w:t>
            </w:r>
          </w:p>
        </w:tc>
        <w:tc>
          <w:tcPr>
            <w:tcW w:w="843" w:type="dxa"/>
            <w:noWrap/>
            <w:hideMark/>
          </w:tcPr>
          <w:p w14:paraId="6CB6E385"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3F435D4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Number comparison</w:t>
            </w:r>
          </w:p>
        </w:tc>
        <w:tc>
          <w:tcPr>
            <w:tcW w:w="708" w:type="dxa"/>
            <w:gridSpan w:val="2"/>
            <w:noWrap/>
            <w:hideMark/>
          </w:tcPr>
          <w:p w14:paraId="165E3F4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48</w:t>
            </w:r>
          </w:p>
        </w:tc>
        <w:tc>
          <w:tcPr>
            <w:tcW w:w="1710" w:type="dxa"/>
            <w:gridSpan w:val="2"/>
          </w:tcPr>
          <w:p w14:paraId="38AED33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Bruker</w:t>
            </w:r>
          </w:p>
        </w:tc>
        <w:tc>
          <w:tcPr>
            <w:tcW w:w="1064" w:type="dxa"/>
          </w:tcPr>
          <w:p w14:paraId="25E912C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SPM96</w:t>
            </w:r>
          </w:p>
        </w:tc>
        <w:tc>
          <w:tcPr>
            <w:tcW w:w="1377" w:type="dxa"/>
          </w:tcPr>
          <w:p w14:paraId="798278E4"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Pcorr</w:t>
            </w:r>
            <w:proofErr w:type="spellEnd"/>
            <w:r w:rsidRPr="00101744">
              <w:rPr>
                <w:rFonts w:ascii="Arial" w:eastAsia="Times New Roman" w:hAnsi="Arial" w:cs="Arial"/>
                <w:color w:val="000000"/>
                <w:sz w:val="18"/>
                <w:szCs w:val="18"/>
                <w:lang w:val="en-US"/>
              </w:rPr>
              <w:t>&lt;0.05</w:t>
            </w:r>
          </w:p>
        </w:tc>
        <w:tc>
          <w:tcPr>
            <w:tcW w:w="663" w:type="dxa"/>
          </w:tcPr>
          <w:p w14:paraId="1D64B4C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3B78B43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w:t>
            </w:r>
          </w:p>
        </w:tc>
      </w:tr>
      <w:tr w:rsidR="003D1F45" w:rsidRPr="00101744" w14:paraId="344A61B5" w14:textId="77777777" w:rsidTr="00B60BB2">
        <w:trPr>
          <w:trHeight w:val="300"/>
        </w:trPr>
        <w:tc>
          <w:tcPr>
            <w:tcW w:w="2269" w:type="dxa"/>
            <w:noWrap/>
            <w:hideMark/>
          </w:tcPr>
          <w:p w14:paraId="3CBE2E1F" w14:textId="44C6A32A"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{"citationItems":[{"id":"ITEM-1","itemData":{"DOI":"10.1093/cercor/bhp080","ISSN":"1460-2199","PMID":"19429864","abstract":"Numerous studies have identified the intraparietal sulcus (IPS) as an area critically involved in numerical processing. IPS neurons in macaques are tuned to a preferred numerosity, hence neurally coding numerosity in a number-selective way. Neuroimaging studies in humans have demonstrated number-selective processing in the anterior parts of the IPS. Nevertheless, the processes that convert visual input into a number-selective neural code remain unknown. Computational studies have suggested that a neural coding stage that is sensitive, but not selective to number, precedes number-selective coding when processing nonsymbolic quantities but not when processing symbolic quantities. In Experiment 1, we used functional magnetic resonance imaging to localize number-sensitive areas in the human brain by searching for areas exhibiting increasing activation with increasing number, carefully controlling for nonnumerical parameters. An area in posterior superior parietal cortex was identified as a substrate for the intermediate number-sensitive steps required for processing nonsymbolic quantities. In Experiment 2, the interpretation of Experiment 1 was confirmed with a connectivity analysis showing that a shared number-selective representation in IPS is reached through different pathways for symbolic versus nonsymbolic quantities. The preferred pathway for processing nonsymbolic quantities included the number-sensitive area in superior parietal cortex, whereas the pathway for processing symbolic quantities did not.","author":[{"dropping-particle":"","family":"Santens","given":"Seppe","non-dropping-particle":"","parse-names":false,"suffix":""},{"dropping-particle":"","family":"Roggeman","given":"Chantal","non-dropping-particle":"","parse-names":false,"suffix":""},{"dropping-particle":"","family":"Fias","given":"Wim","non-dropping-particle":"","parse-names":false,"suffix":""},{"dropping-particle":"","family":"Verguts","given":"Tom","non-dropping-particle":"","parse-names":false,"suffix":""}],"container-title":"Cerebral Cortex","id":"ITEM-1","issue":"1","issued":{"date-parts":[["2010","1"]]},"page":"77-88","title":"Number Processing Pathways in Human Parietal Cortex","type":"article-journal","volume":"20"},"uris":["http://www.mendeley.com/documents/?uuid=44247343-194d-3b19-a3c9-05d81b85d335"]}],"mendeley":{"formattedCitation":"(Santens et al. 2010)","plainTextFormattedCitation":"(Santens et al. 2010)","previouslyFormattedCitation":"&lt;sup&gt;114&lt;/sup&gt;"},"properties":{"noteIndex":0},"schema":"https://github.com/citation-style-language/schema/raw/master/csl-citation.json"}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(Santens et al. 2010)</w:t>
            </w:r>
            <w:r w:rsidRPr="00101744">
              <w:rPr>
                <w:rFonts w:ascii="Arial" w:eastAsia="Times New Roman" w:hAnsi="Arial" w:cs="Arial"/>
                <w:color w:val="000000"/>
                <w:sz w:val="18"/>
                <w:szCs w:val="18"/>
                <w:lang w:val="en-US" w:eastAsia="pt-PT"/>
              </w:rPr>
              <w:fldChar w:fldCharType="end"/>
            </w:r>
          </w:p>
        </w:tc>
        <w:tc>
          <w:tcPr>
            <w:tcW w:w="709" w:type="dxa"/>
            <w:noWrap/>
            <w:hideMark/>
          </w:tcPr>
          <w:p w14:paraId="66FC385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16</w:t>
            </w:r>
          </w:p>
        </w:tc>
        <w:tc>
          <w:tcPr>
            <w:tcW w:w="709" w:type="dxa"/>
            <w:noWrap/>
            <w:hideMark/>
          </w:tcPr>
          <w:p w14:paraId="7509928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14</w:t>
            </w:r>
          </w:p>
        </w:tc>
        <w:tc>
          <w:tcPr>
            <w:tcW w:w="571" w:type="dxa"/>
            <w:noWrap/>
            <w:hideMark/>
          </w:tcPr>
          <w:p w14:paraId="0B48399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w:t>
            </w:r>
          </w:p>
        </w:tc>
        <w:tc>
          <w:tcPr>
            <w:tcW w:w="704" w:type="dxa"/>
            <w:noWrap/>
            <w:hideMark/>
          </w:tcPr>
          <w:p w14:paraId="6CD60DD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22</w:t>
            </w:r>
          </w:p>
        </w:tc>
        <w:tc>
          <w:tcPr>
            <w:tcW w:w="843" w:type="dxa"/>
            <w:noWrap/>
            <w:hideMark/>
          </w:tcPr>
          <w:p w14:paraId="6ADD4BC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19-26</w:t>
            </w:r>
          </w:p>
        </w:tc>
        <w:tc>
          <w:tcPr>
            <w:tcW w:w="2268" w:type="dxa"/>
            <w:gridSpan w:val="2"/>
            <w:noWrap/>
            <w:hideMark/>
          </w:tcPr>
          <w:p w14:paraId="46B1733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Counting/Calculation</w:t>
            </w:r>
          </w:p>
        </w:tc>
        <w:tc>
          <w:tcPr>
            <w:tcW w:w="708" w:type="dxa"/>
            <w:gridSpan w:val="2"/>
            <w:noWrap/>
            <w:hideMark/>
          </w:tcPr>
          <w:p w14:paraId="209D5E3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1710" w:type="dxa"/>
            <w:gridSpan w:val="2"/>
          </w:tcPr>
          <w:p w14:paraId="50354DE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3T </w:t>
            </w:r>
            <w:proofErr w:type="spellStart"/>
            <w:r w:rsidRPr="00101744">
              <w:rPr>
                <w:rFonts w:ascii="Arial" w:eastAsia="Times New Roman" w:hAnsi="Arial" w:cs="Arial"/>
                <w:color w:val="000000"/>
                <w:sz w:val="18"/>
                <w:szCs w:val="18"/>
                <w:lang w:val="en-US"/>
              </w:rPr>
              <w:t>Magnetom</w:t>
            </w:r>
            <w:proofErr w:type="spellEnd"/>
            <w:r w:rsidRPr="00101744">
              <w:rPr>
                <w:rFonts w:ascii="Arial" w:eastAsia="Times New Roman" w:hAnsi="Arial" w:cs="Arial"/>
                <w:color w:val="000000"/>
                <w:sz w:val="18"/>
                <w:szCs w:val="18"/>
                <w:lang w:val="en-US"/>
              </w:rPr>
              <w:t xml:space="preserve"> Trio Siemens</w:t>
            </w:r>
          </w:p>
        </w:tc>
        <w:tc>
          <w:tcPr>
            <w:tcW w:w="1064" w:type="dxa"/>
          </w:tcPr>
          <w:p w14:paraId="27F9BD6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SPM5</w:t>
            </w:r>
          </w:p>
        </w:tc>
        <w:tc>
          <w:tcPr>
            <w:tcW w:w="1377" w:type="dxa"/>
          </w:tcPr>
          <w:p w14:paraId="32E309C1"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&lt;0.005</w:t>
            </w:r>
          </w:p>
        </w:tc>
        <w:tc>
          <w:tcPr>
            <w:tcW w:w="663" w:type="dxa"/>
          </w:tcPr>
          <w:p w14:paraId="4AFA10F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7668F9F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r>
      <w:tr w:rsidR="003D1F45" w:rsidRPr="00101744" w14:paraId="4A002AA5" w14:textId="77777777" w:rsidTr="00B60BB2">
        <w:trPr>
          <w:trHeight w:val="300"/>
        </w:trPr>
        <w:tc>
          <w:tcPr>
            <w:tcW w:w="2269" w:type="dxa"/>
            <w:noWrap/>
            <w:hideMark/>
          </w:tcPr>
          <w:p w14:paraId="249322AA" w14:textId="66161808"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{"citationItems":[{"id":"ITEM-1","itemData":{"DOI":"10.1093/cercor/bhp080","ISSN":"1460-2199","PMID":"19429864","abstract":"Numerous studies have identified the intraparietal sulcus (IPS) as an area critically involved in numerical processing. IPS neurons in macaques are tuned to a preferred numerosity, hence neurally coding numerosity in a number-selective way. Neuroimaging studies in humans have demonstrated number-selective processing in the anterior parts of the IPS. Nevertheless, the processes that convert visual input into a number-selective neural code remain unknown. Computational studies have suggested that a neural coding stage that is sensitive, but not selective to number, precedes number-selective coding when processing nonsymbolic quantities but not when processing symbolic quantities. In Experiment 1, we used functional magnetic resonance imaging to localize number-sensitive areas in the human brain by searching for areas exhibiting increasing activation with increasing number, carefully controlling for nonnumerical parameters. An area in posterior superior parietal cortex was identified as a substrate for the intermediate number-sensitive steps required for processing nonsymbolic quantities. In Experiment 2, the interpretation of Experiment 1 was confirmed with a connectivity analysis showing that a shared number-selective representation in IPS is reached through different pathways for symbolic versus nonsymbolic quantities. The preferred pathway for processing nonsymbolic quantities included the number-sensitive area in superior parietal cortex, whereas the pathway for processing symbolic quantities did not.","author":[{"dropping-particle":"","family":"Santens","given":"Seppe","non-dropping-particle":"","parse-names":false,"suffix":""},{"dropping-particle":"","family":"Roggeman","given":"Chantal","non-dropping-particle":"","parse-names":false,"suffix":""},{"dropping-particle":"","family":"Fias","given":"Wim","non-dropping-particle":"","parse-names":false,"suffix":""},{"dropping-particle":"","family":"Verguts","given":"Tom","non-dropping-particle":"","parse-names":false,"suffix":""}],"container-title":"Cerebral Cortex","id":"ITEM-1","issue":"1","issued":{"date-parts":[["2010","1"]]},"page":"77-88","title":"Number Processing Pathways in Human Parietal Cortex","type":"article-journal","volume":"20"},"uris":["http://www.mendeley.com/documents/?uuid=44247343-194d-3b19-a3c9-05d81b85d335"]}],"mendeley":{"formattedCitation":"(Santens et al. 2010)","plainTextFormattedCitation":"(Santens et al. 2010)","previouslyFormattedCitation":"&lt;sup&gt;114&lt;/sup&gt;"},"properties":{"noteIndex":0},"schema":"https://github.com/citation-style-language/schema/raw/master/csl-citation.json"}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(Santens et al. 2010)</w:t>
            </w:r>
            <w:r w:rsidRPr="00101744">
              <w:rPr>
                <w:rFonts w:ascii="Arial" w:eastAsia="Times New Roman" w:hAnsi="Arial" w:cs="Arial"/>
                <w:color w:val="000000"/>
                <w:sz w:val="18"/>
                <w:szCs w:val="18"/>
                <w:lang w:val="en-US" w:eastAsia="pt-PT"/>
              </w:rPr>
              <w:fldChar w:fldCharType="end"/>
            </w:r>
          </w:p>
        </w:tc>
        <w:tc>
          <w:tcPr>
            <w:tcW w:w="709" w:type="dxa"/>
            <w:noWrap/>
            <w:hideMark/>
          </w:tcPr>
          <w:p w14:paraId="3BA5994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12</w:t>
            </w:r>
          </w:p>
        </w:tc>
        <w:tc>
          <w:tcPr>
            <w:tcW w:w="709" w:type="dxa"/>
            <w:noWrap/>
            <w:hideMark/>
          </w:tcPr>
          <w:p w14:paraId="5AF69B4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12</w:t>
            </w:r>
          </w:p>
        </w:tc>
        <w:tc>
          <w:tcPr>
            <w:tcW w:w="571" w:type="dxa"/>
            <w:noWrap/>
            <w:hideMark/>
          </w:tcPr>
          <w:p w14:paraId="41B0B6A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0</w:t>
            </w:r>
          </w:p>
        </w:tc>
        <w:tc>
          <w:tcPr>
            <w:tcW w:w="704" w:type="dxa"/>
            <w:noWrap/>
            <w:hideMark/>
          </w:tcPr>
          <w:p w14:paraId="335B40A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w:t>
            </w:r>
          </w:p>
        </w:tc>
        <w:tc>
          <w:tcPr>
            <w:tcW w:w="843" w:type="dxa"/>
            <w:noWrap/>
            <w:hideMark/>
          </w:tcPr>
          <w:p w14:paraId="4ECB9A9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19-23</w:t>
            </w:r>
          </w:p>
        </w:tc>
        <w:tc>
          <w:tcPr>
            <w:tcW w:w="2268" w:type="dxa"/>
            <w:gridSpan w:val="2"/>
            <w:noWrap/>
            <w:hideMark/>
          </w:tcPr>
          <w:p w14:paraId="73F7340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Counting/Calculation</w:t>
            </w:r>
          </w:p>
        </w:tc>
        <w:tc>
          <w:tcPr>
            <w:tcW w:w="708" w:type="dxa"/>
            <w:gridSpan w:val="2"/>
            <w:noWrap/>
            <w:hideMark/>
          </w:tcPr>
          <w:p w14:paraId="6D92E25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w:t>
            </w:r>
          </w:p>
        </w:tc>
        <w:tc>
          <w:tcPr>
            <w:tcW w:w="1710" w:type="dxa"/>
            <w:gridSpan w:val="2"/>
          </w:tcPr>
          <w:p w14:paraId="370193F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3T </w:t>
            </w:r>
            <w:proofErr w:type="spellStart"/>
            <w:r w:rsidRPr="00101744">
              <w:rPr>
                <w:rFonts w:ascii="Arial" w:eastAsia="Times New Roman" w:hAnsi="Arial" w:cs="Arial"/>
                <w:color w:val="000000"/>
                <w:sz w:val="18"/>
                <w:szCs w:val="18"/>
                <w:lang w:val="en-US"/>
              </w:rPr>
              <w:t>Magnetom</w:t>
            </w:r>
            <w:proofErr w:type="spellEnd"/>
            <w:r w:rsidRPr="00101744">
              <w:rPr>
                <w:rFonts w:ascii="Arial" w:eastAsia="Times New Roman" w:hAnsi="Arial" w:cs="Arial"/>
                <w:color w:val="000000"/>
                <w:sz w:val="18"/>
                <w:szCs w:val="18"/>
                <w:lang w:val="en-US"/>
              </w:rPr>
              <w:t xml:space="preserve"> Trio Siemens</w:t>
            </w:r>
          </w:p>
        </w:tc>
        <w:tc>
          <w:tcPr>
            <w:tcW w:w="1064" w:type="dxa"/>
          </w:tcPr>
          <w:p w14:paraId="5295864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SPM5</w:t>
            </w:r>
          </w:p>
        </w:tc>
        <w:tc>
          <w:tcPr>
            <w:tcW w:w="1377" w:type="dxa"/>
          </w:tcPr>
          <w:p w14:paraId="4D4C2F33"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&lt;0.005</w:t>
            </w:r>
          </w:p>
        </w:tc>
        <w:tc>
          <w:tcPr>
            <w:tcW w:w="663" w:type="dxa"/>
          </w:tcPr>
          <w:p w14:paraId="7EBB8B3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7BD8DF6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r>
      <w:tr w:rsidR="003D1F45" w:rsidRPr="00101744" w14:paraId="74186F3C" w14:textId="77777777" w:rsidTr="00B60BB2">
        <w:trPr>
          <w:trHeight w:val="300"/>
        </w:trPr>
        <w:tc>
          <w:tcPr>
            <w:tcW w:w="2269" w:type="dxa"/>
            <w:noWrap/>
            <w:hideMark/>
          </w:tcPr>
          <w:p w14:paraId="0370D1E3" w14:textId="5450FC54"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{"citationItems":[{"id":"ITEM-1","itemData":{"DOI":"10.1016/j.brainres.2008.09.096","ISSN":"00068993","PMID":"18976641","abstract":"Young and older adults assessed the approximate number of dots in collections including between 20 and 50 dots, with two strategies. The benchmark strategy is based on retrieving memory representations of quantities after visually scanning stimulus. The anchoring strategy involves both enumeration and estimation processes. Brain activations and performance were analyzed as a function of strategies, size of collections and age. Executing the benchmark strategy produced faster performance. It was associated with increased activity of a bilateral parieto/occipital and insular cortical network, including the postcentral gyrus, the cuneus, the middle occipital gyrus, and the insula. In addition to these bilateral activations, the benchmark strategy activated right prefrontal area. The anchoring strategy activated right superior parietal lobule, bilateral subcortical structures (putamen), and left dorso-lateral prefrontal cortex. The effects of aging on these cortical networks depended on strategies. These results suggest dissociation between two numerosity estimation strategies underlying different cognitive estimation processes and help to clarify age differences in numerosity estimation.","author":[{"dropping-particle":"","family":"Gandini","given":"Delphine","non-dropping-particle":"","parse-names":false,"suffix":""},{"dropping-particle":"","family":"Lemaire","given":"Patrick","non-dropping-particle":"","parse-names":false,"suffix":""},{"dropping-particle":"","family":"Anton","given":"Jean-Luc","non-dropping-particle":"","parse-names":false,"suffix":""},{"dropping-particle":"","family":"Nazarian","given":"Bruno","non-dropping-particle":"","parse-names":false,"suffix":""}],"container-title":"Brain Research","id":"ITEM-1","issued":{"date-parts":[["2008","12","30"]]},"page":"144-157","title":"Neural correlates of approximate quantification strategies in young and older adults: An fMRI study","type":"article-journal","volume":"1246"},"uris":["http://www.mendeley.com/documents/?uuid=a44d547a-5715-35ff-9643-3a073b3d5ea8"]}],"mendeley":{"formattedCitation":"(Gandini et al. 2008)","plainTextFormattedCitation":"(Gandini et al. 2008)","previouslyFormattedCitation":"&lt;sup&gt;115&lt;/sup&gt;"},"properties":{"noteIndex":0},"schema":"https://github.com/citation-style-language/schema/raw/master/csl-citation.json"}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(Gandini et al. 2008)</w:t>
            </w:r>
            <w:r w:rsidRPr="00101744">
              <w:rPr>
                <w:rFonts w:ascii="Arial" w:eastAsia="Times New Roman" w:hAnsi="Arial" w:cs="Arial"/>
                <w:color w:val="000000"/>
                <w:sz w:val="18"/>
                <w:szCs w:val="18"/>
                <w:lang w:val="en-US" w:eastAsia="pt-PT"/>
              </w:rPr>
              <w:fldChar w:fldCharType="end"/>
            </w:r>
          </w:p>
        </w:tc>
        <w:tc>
          <w:tcPr>
            <w:tcW w:w="709" w:type="dxa"/>
            <w:noWrap/>
            <w:hideMark/>
          </w:tcPr>
          <w:p w14:paraId="1A30B20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13</w:t>
            </w:r>
          </w:p>
        </w:tc>
        <w:tc>
          <w:tcPr>
            <w:tcW w:w="709" w:type="dxa"/>
            <w:noWrap/>
            <w:hideMark/>
          </w:tcPr>
          <w:p w14:paraId="592B8C9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571" w:type="dxa"/>
            <w:noWrap/>
            <w:hideMark/>
          </w:tcPr>
          <w:p w14:paraId="76BD5DF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704" w:type="dxa"/>
            <w:noWrap/>
            <w:hideMark/>
          </w:tcPr>
          <w:p w14:paraId="59CA8FC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26</w:t>
            </w:r>
          </w:p>
        </w:tc>
        <w:tc>
          <w:tcPr>
            <w:tcW w:w="843" w:type="dxa"/>
            <w:noWrap/>
            <w:hideMark/>
          </w:tcPr>
          <w:p w14:paraId="4AFB281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23-30</w:t>
            </w:r>
          </w:p>
        </w:tc>
        <w:tc>
          <w:tcPr>
            <w:tcW w:w="2268" w:type="dxa"/>
            <w:gridSpan w:val="2"/>
            <w:noWrap/>
            <w:hideMark/>
          </w:tcPr>
          <w:p w14:paraId="203E409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Arithmetic operations</w:t>
            </w:r>
          </w:p>
        </w:tc>
        <w:tc>
          <w:tcPr>
            <w:tcW w:w="708" w:type="dxa"/>
            <w:gridSpan w:val="2"/>
            <w:noWrap/>
            <w:hideMark/>
          </w:tcPr>
          <w:p w14:paraId="0F41B8B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11</w:t>
            </w:r>
          </w:p>
        </w:tc>
        <w:tc>
          <w:tcPr>
            <w:tcW w:w="1710" w:type="dxa"/>
            <w:gridSpan w:val="2"/>
          </w:tcPr>
          <w:p w14:paraId="675799E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Bruker</w:t>
            </w:r>
          </w:p>
        </w:tc>
        <w:tc>
          <w:tcPr>
            <w:tcW w:w="1064" w:type="dxa"/>
          </w:tcPr>
          <w:p w14:paraId="26B8C5F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SPM5</w:t>
            </w:r>
          </w:p>
        </w:tc>
        <w:tc>
          <w:tcPr>
            <w:tcW w:w="1377" w:type="dxa"/>
          </w:tcPr>
          <w:p w14:paraId="19900075"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&lt;0.001</w:t>
            </w:r>
          </w:p>
        </w:tc>
        <w:tc>
          <w:tcPr>
            <w:tcW w:w="663" w:type="dxa"/>
          </w:tcPr>
          <w:p w14:paraId="446E4CE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2916</w:t>
            </w:r>
          </w:p>
        </w:tc>
        <w:tc>
          <w:tcPr>
            <w:tcW w:w="1148" w:type="dxa"/>
          </w:tcPr>
          <w:p w14:paraId="568980A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r>
      <w:tr w:rsidR="003D1F45" w:rsidRPr="00101744" w14:paraId="077CB0D7" w14:textId="77777777" w:rsidTr="00B60BB2">
        <w:trPr>
          <w:trHeight w:val="300"/>
        </w:trPr>
        <w:tc>
          <w:tcPr>
            <w:tcW w:w="2269" w:type="dxa"/>
            <w:noWrap/>
            <w:hideMark/>
          </w:tcPr>
          <w:p w14:paraId="68704D53" w14:textId="4066EC25"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{"citationItems":[{"id":"ITEM-1","itemData":{"DOI":"10.1186/1744-9081-2-31","ISSN":"1744-9081","PMID":"16953876","abstract":"BACKGROUND Developmental dyscalculia (DD) is a specific learning disability affecting the acquisition of mathematical skills in children with otherwise normal general intelligence. The goal of the present study was to examine cerebral mechanisms underlying DD. METHODS Eighteen children with DD aged 11.2 +/- 1.3 years and twenty age-matched typically achieving schoolchildren were investigated using functional magnetic resonance imaging (fMRI) during trials testing approximate and exact mathematical calculation, as well as magnitude comparison. RESULTS Children with DD showed greater inter-individual variability and had weaker activation in almost the entire neuronal network for approximate calculation including the intraparietal sulcus, and the middle and inferior frontal gyrus of both hemispheres. In particular, the left intraparietal sulcus, the left inferior frontal gyrus and the right middle frontal gyrus seem to play crucial roles in correct approximate calculation, since brain activation correlated with accuracy rate in these regions. In contrast, no differences between groups could be found for exact calculation and magnitude comparison. In general, fMRI revealed similar parietal and prefrontal activation patterns in DD children compared to controls for all conditions. CONCLUSION In conclusion, there is evidence</w:instrText>
            </w:r>
            <w:r w:rsidR="00C14016" w:rsidRPr="00C14016">
              <w:rPr>
                <w:rFonts w:ascii="Arial" w:hAnsi="Arial" w:cs="Arial"/>
                <w:color w:val="000000"/>
                <w:sz w:val="18"/>
                <w:szCs w:val="18"/>
                <w:lang w:val="en-GB" w:eastAsia="pt-PT"/>
              </w:rPr>
              <w:instrText xml:space="preserve"> for a deficient recruitment of neural resources in children with DD when processing analog magnitudes of numbers.","author":[{"dropping-particle":"","family":"Kucian","given":"Karin","non-dropping-particle":"","parse-names":false,"suffix":""},{"dropping-particle":"","family":"Loenneker","given":"Thomas","non-dropping-particle":"","parse-names":false,"suffix":""},{"dropping-particle":"","family":"Dietrich","given":"Thomas","non-dropping-particle":"","parse-names":false,"suffix":""},{"dropping-particle":"","family":"Dosch","given":"Mengia","non-dropping-particle":"","parse-names":false,"suffix":""},{"dropping-particle":"","family":"Martin","given":"Ernst","non-dropping-particle":"","parse-names":false,"suffix":""},{"dropping-particle":"","family":"Aster","given":"Michael","non-dropping-particle":"von","parse-names":false,"suffix":""}],"container-title":"Behavioral and brain functions : BBF","id":"ITEM-1","issue":"1","issued":{"date-parts":[["2006","9","5"]]},"page":"31","title":"Impaired neural networks for approximate calculation in dyscalculic children: a functional MRI study.","type":"article-journal","volume":"2"},"uris":["http://www.mendeley.com/documents/?uuid=05727e01-604a-3d24-a3c6-b31a3c03248f"]}],"mendeley":{"formattedCitation":"(Kucian et al. 2006)","plainTextFormattedCitation":"(Kucian et al. 2006)","previouslyFormattedCitation":"&lt;sup&gt;116&lt;/sup&gt;"},"properties":{"noteIndex":0},"schema":"https://github.com/citation-style-language/schema/raw/master/csl-citation.json"}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(Kucian et al. 2006)</w:t>
            </w:r>
            <w:r w:rsidRPr="00101744">
              <w:rPr>
                <w:rFonts w:ascii="Arial" w:eastAsia="Times New Roman" w:hAnsi="Arial" w:cs="Arial"/>
                <w:color w:val="000000"/>
                <w:sz w:val="18"/>
                <w:szCs w:val="18"/>
                <w:lang w:val="en-US" w:eastAsia="pt-PT"/>
              </w:rPr>
              <w:fldChar w:fldCharType="end"/>
            </w:r>
          </w:p>
        </w:tc>
        <w:tc>
          <w:tcPr>
            <w:tcW w:w="709" w:type="dxa"/>
            <w:noWrap/>
            <w:hideMark/>
          </w:tcPr>
          <w:p w14:paraId="3753652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w:t>
            </w:r>
          </w:p>
        </w:tc>
        <w:tc>
          <w:tcPr>
            <w:tcW w:w="709" w:type="dxa"/>
            <w:noWrap/>
            <w:hideMark/>
          </w:tcPr>
          <w:p w14:paraId="155CA0F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571" w:type="dxa"/>
            <w:noWrap/>
            <w:hideMark/>
          </w:tcPr>
          <w:p w14:paraId="1D984A7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704" w:type="dxa"/>
            <w:noWrap/>
            <w:hideMark/>
          </w:tcPr>
          <w:p w14:paraId="766CD70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26</w:t>
            </w:r>
          </w:p>
        </w:tc>
        <w:tc>
          <w:tcPr>
            <w:tcW w:w="843" w:type="dxa"/>
            <w:noWrap/>
            <w:hideMark/>
          </w:tcPr>
          <w:p w14:paraId="4881D254"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376EAF9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 and magnitude comparison</w:t>
            </w:r>
          </w:p>
        </w:tc>
        <w:tc>
          <w:tcPr>
            <w:tcW w:w="708" w:type="dxa"/>
            <w:gridSpan w:val="2"/>
            <w:noWrap/>
            <w:hideMark/>
          </w:tcPr>
          <w:p w14:paraId="2C52195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42</w:t>
            </w:r>
          </w:p>
        </w:tc>
        <w:tc>
          <w:tcPr>
            <w:tcW w:w="1710" w:type="dxa"/>
            <w:gridSpan w:val="2"/>
          </w:tcPr>
          <w:p w14:paraId="64A37D1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1.5T GE</w:t>
            </w:r>
          </w:p>
        </w:tc>
        <w:tc>
          <w:tcPr>
            <w:tcW w:w="1064" w:type="dxa"/>
          </w:tcPr>
          <w:p w14:paraId="6F01DA2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SPM99</w:t>
            </w:r>
          </w:p>
        </w:tc>
        <w:tc>
          <w:tcPr>
            <w:tcW w:w="1377" w:type="dxa"/>
          </w:tcPr>
          <w:p w14:paraId="351BEAD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P(FDR)&lt;0.05</w:t>
            </w:r>
          </w:p>
        </w:tc>
        <w:tc>
          <w:tcPr>
            <w:tcW w:w="663" w:type="dxa"/>
          </w:tcPr>
          <w:p w14:paraId="0B0DACC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3200</w:t>
            </w:r>
          </w:p>
        </w:tc>
        <w:tc>
          <w:tcPr>
            <w:tcW w:w="1148" w:type="dxa"/>
          </w:tcPr>
          <w:p w14:paraId="26AAF4C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3.75</w:t>
            </w:r>
          </w:p>
        </w:tc>
      </w:tr>
      <w:tr w:rsidR="003D1F45" w:rsidRPr="00101744" w14:paraId="50EB9329" w14:textId="77777777" w:rsidTr="00B60BB2">
        <w:trPr>
          <w:trHeight w:val="300"/>
        </w:trPr>
        <w:tc>
          <w:tcPr>
            <w:tcW w:w="2269" w:type="dxa"/>
            <w:noWrap/>
            <w:hideMark/>
          </w:tcPr>
          <w:p w14:paraId="5598CCF8" w14:textId="3E5620A2"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{"citationItems":[{"id":"ITEM-1","itemData":{"DOI":"10.1016/j.neuroimage.2005.07.056","ISSN":"10538119","PMID":"16253524","abstract":"When participants are asked to decide which of a pair of two-digit Arabic numbers is larger, they compare units and decades, even when units are irrelevant. Typically, behavioral responses are slower when units are incongruent with the decade comparison (e.g. 81_26, because 8 &gt; 2 but 1 &lt; 6; unit-decade compatibility effect, [Nuerk, H.-C., Weger, U., Willmes, K. 2001. Decade breaks in the mental number line? Putting the tens and units back in different bins. Cognition 82, B25-B33.]). We defined parametric regressors to examine the effect of decade digit distance and unit distance-based compatibility processing on the fMRI signal to investigate the neural correlates of two-digit magnitude processing. Fourteen male right-handed volunteers (mean age = 27, range 21-38 years) took part in the study. In a rapid event-related design, participants had to decide which of two two-digit Arabic numbers was larger. Data were preprocessed and analyzed statistically in SPM2. Activation in the anterior portion of the right IPS was significantly modulated by compatibility-based unit distance processing. Furthermore, decade distance predicted an increase in the fMRI signal from cortex around the left IPS, right anterior and right pos</w:instrText>
            </w:r>
            <w:r w:rsidR="00C14016">
              <w:rPr>
                <w:rFonts w:ascii="Arial" w:hAnsi="Arial" w:cs="Arial"/>
                <w:color w:val="000000"/>
                <w:sz w:val="18"/>
                <w:szCs w:val="18"/>
                <w:lang w:eastAsia="pt-PT"/>
              </w:rPr>
              <w:instrText>terior IPS. These results indicate that magnitude representations of unit-decade compatibility and decade distance are subserved by the intraparietal cortex and that the symbolic structure of the Arabic number system is an important determinant of multi-digit number magnitude processing. Implications of the present results in terms of general symbolic information processing are discussed.","author":[{"dropping-particle":"","family":"Wood","given":"Guilherme","non-dropping-particle":"","parse-names":false,"suffix":""},{"dropping-particle":"","family":"Nuerk","given":"Hans-Christoph","non-dropping-particle":"","parse-names":false,"suffix":""},{"dropping-particle":"","family":"Willmes","given":"Klaus","non-dropping-particle":"","parse-names":false,"suffix":""}],"container-title":"NeuroImage","id":"ITEM-1","issue":"2","issued":{"date-parts":[["2006","1","15"]]},"page":"358-367","title":"Neural representations of two-digit numbers: A parametric fMRI study","type":"article-journal","volume":"29"},"uris":["http://www.mendeley.com/documents/?uuid=72a895e1-f6b6-30ee-95c4-a323b3b9d3e9"]}],"mendeley":{"formattedCitation":"(Wood, Nuerk, and Willmes 2006)","plainTextFormattedCitation":"(Wood, Nuerk, and Willmes 2006)","previouslyFormattedCitation":"&lt;sup&gt;117&lt;/sup&gt;"},"properties":{"noteIndex":0},"schema":"https://github.com/citation-style-language/schema/raw/master/csl-citation.json"}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(Wood, Nuerk, and Willmes 2006)</w:t>
            </w:r>
            <w:r w:rsidRPr="00101744">
              <w:rPr>
                <w:rFonts w:ascii="Arial" w:eastAsia="Times New Roman" w:hAnsi="Arial" w:cs="Arial"/>
                <w:color w:val="000000"/>
                <w:sz w:val="18"/>
                <w:szCs w:val="18"/>
                <w:lang w:val="en-US" w:eastAsia="pt-PT"/>
              </w:rPr>
              <w:fldChar w:fldCharType="end"/>
            </w:r>
          </w:p>
        </w:tc>
        <w:tc>
          <w:tcPr>
            <w:tcW w:w="709" w:type="dxa"/>
            <w:noWrap/>
            <w:hideMark/>
          </w:tcPr>
          <w:p w14:paraId="61FC2E0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14</w:t>
            </w:r>
          </w:p>
        </w:tc>
        <w:tc>
          <w:tcPr>
            <w:tcW w:w="709" w:type="dxa"/>
            <w:noWrap/>
            <w:hideMark/>
          </w:tcPr>
          <w:p w14:paraId="227E4D2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14</w:t>
            </w:r>
          </w:p>
        </w:tc>
        <w:tc>
          <w:tcPr>
            <w:tcW w:w="571" w:type="dxa"/>
            <w:noWrap/>
            <w:hideMark/>
          </w:tcPr>
          <w:p w14:paraId="6263D5F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0</w:t>
            </w:r>
          </w:p>
        </w:tc>
        <w:tc>
          <w:tcPr>
            <w:tcW w:w="704" w:type="dxa"/>
            <w:noWrap/>
            <w:hideMark/>
          </w:tcPr>
          <w:p w14:paraId="2B14796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27</w:t>
            </w:r>
          </w:p>
        </w:tc>
        <w:tc>
          <w:tcPr>
            <w:tcW w:w="843" w:type="dxa"/>
            <w:noWrap/>
            <w:hideMark/>
          </w:tcPr>
          <w:p w14:paraId="4B81B33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21-38</w:t>
            </w:r>
          </w:p>
        </w:tc>
        <w:tc>
          <w:tcPr>
            <w:tcW w:w="2268" w:type="dxa"/>
            <w:gridSpan w:val="2"/>
            <w:noWrap/>
            <w:hideMark/>
          </w:tcPr>
          <w:p w14:paraId="49C42BA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Magnitude Comparison</w:t>
            </w:r>
          </w:p>
        </w:tc>
        <w:tc>
          <w:tcPr>
            <w:tcW w:w="708" w:type="dxa"/>
            <w:gridSpan w:val="2"/>
            <w:noWrap/>
            <w:hideMark/>
          </w:tcPr>
          <w:p w14:paraId="05CC73A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22</w:t>
            </w:r>
          </w:p>
        </w:tc>
        <w:tc>
          <w:tcPr>
            <w:tcW w:w="1710" w:type="dxa"/>
            <w:gridSpan w:val="2"/>
          </w:tcPr>
          <w:p w14:paraId="0F7C8A8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1.5T </w:t>
            </w:r>
            <w:proofErr w:type="spellStart"/>
            <w:r w:rsidRPr="00101744">
              <w:rPr>
                <w:rFonts w:ascii="Arial" w:eastAsia="Times New Roman" w:hAnsi="Arial" w:cs="Arial"/>
                <w:color w:val="000000"/>
                <w:sz w:val="18"/>
                <w:szCs w:val="18"/>
                <w:lang w:val="en-US"/>
              </w:rPr>
              <w:t>Gyroscan</w:t>
            </w:r>
            <w:proofErr w:type="spellEnd"/>
            <w:r w:rsidRPr="00101744">
              <w:rPr>
                <w:rFonts w:ascii="Arial" w:eastAsia="Times New Roman" w:hAnsi="Arial" w:cs="Arial"/>
                <w:color w:val="000000"/>
                <w:sz w:val="18"/>
                <w:szCs w:val="18"/>
                <w:lang w:val="en-US"/>
              </w:rPr>
              <w:t xml:space="preserve"> Philips</w:t>
            </w:r>
          </w:p>
        </w:tc>
        <w:tc>
          <w:tcPr>
            <w:tcW w:w="1064" w:type="dxa"/>
          </w:tcPr>
          <w:p w14:paraId="37DC43B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SPM2</w:t>
            </w:r>
          </w:p>
        </w:tc>
        <w:tc>
          <w:tcPr>
            <w:tcW w:w="1377" w:type="dxa"/>
          </w:tcPr>
          <w:p w14:paraId="181EFDC1"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&lt;0.001</w:t>
            </w:r>
          </w:p>
        </w:tc>
        <w:tc>
          <w:tcPr>
            <w:tcW w:w="663" w:type="dxa"/>
          </w:tcPr>
          <w:p w14:paraId="77F99E0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2800</w:t>
            </w:r>
          </w:p>
        </w:tc>
        <w:tc>
          <w:tcPr>
            <w:tcW w:w="1148" w:type="dxa"/>
          </w:tcPr>
          <w:p w14:paraId="3E2FF58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3.4</w:t>
            </w:r>
          </w:p>
        </w:tc>
      </w:tr>
      <w:tr w:rsidR="003D1F45" w:rsidRPr="00101744" w14:paraId="15C0FF67" w14:textId="77777777" w:rsidTr="00B60BB2">
        <w:trPr>
          <w:trHeight w:val="300"/>
        </w:trPr>
        <w:tc>
          <w:tcPr>
            <w:tcW w:w="2269" w:type="dxa"/>
            <w:noWrap/>
            <w:hideMark/>
          </w:tcPr>
          <w:p w14:paraId="7879788A" w14:textId="6D9EF689"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{"citationItems":[{"id":"ITEM-1","itemData":{"DOI":"10.1016/j.nicl.2014.08.012","ISSN":"22131582","PMID":"25379415","abstract":"LPFC dysfunction is a well-established neural impairment in schizophrenia and is associated with worse symptoms. However, how LPFC activation influences symptoms is unclear. Previous findings in healthy individuals demonstrate that lateral prefrontal cortex (LPFC) activation during cognitive control of emotional information predicts mood and behavior in response to interpersonal conflict, thus impairments in these processes may contribute to symptom exacerbation in schizophrenia. We investigated whether schizophrenia participants show LPFC deficits during cognitive control of emotional information, and whether these LPFC deficits prospectively predict changes in mood and symptoms following real-world interpersonal conflict. During fMRI, 23 individuals with schizophrenia or schizoaffective disorder and 24 healthy controls completed the Multi-Source Interference Task superimposed on neutral and negative pictures. Afterwards, schizophrenia participants completed a 21-day online daily-diary in which they rated the extent to which they experienced mood and schizophrenia-spectrum symptoms, as well as the occurrence and response to interpersonal conflict. Schizophrenia participants had lower dorsal LPFC activity (BA9) during cognitive control of task-irrelevant negative emotional information. Within schizophrenia par</w:instrText>
            </w:r>
            <w:r w:rsidR="00C14016" w:rsidRPr="00C14016">
              <w:rPr>
                <w:rFonts w:ascii="Arial" w:hAnsi="Arial" w:cs="Arial"/>
                <w:color w:val="000000"/>
                <w:sz w:val="18"/>
                <w:szCs w:val="18"/>
                <w:lang w:val="en-GB" w:eastAsia="pt-PT"/>
              </w:rPr>
              <w:instrText>ticipants, DLPFC activity during cognitive control of emotional information predicted changes in positive and negative mood on days following highly distressing interpersonal conflicts. Results have implications for understanding the specific role of LPFC in response to social stress in schizophrenia, and suggest that treatments targeting LPFC-mediated cognitive control of emotion could promote adaptive response to social stress in schizophrenia.","author":[{"dropping-particle":"","family":"Tully","given":"Laura M.","non-dropping-particle":"","parse-names":false,"suffix":""},{"dropping-particle":"","family":"Lincoln","given":"Sarah Hope","non-dropping-particle":"","parse-names":false,"suffix":""},{"dropping-particle":"","family":"Hooker","given":"Christine I.","non-dropping-particle":"","parse-names":false,"suffix":""}],"container-title":"NeuroImage: Clinical","id":"ITEM-1","issued":{"date-parts":[["2014"]]},"page":"43-53","title":"Lateral prefrontal cortex activity during cognitive control of emotion predicts response to social stress in schizophrenia","type":"article-journal","volume":"6"},"uris":["http://www.mendeley.com/documents/?uuid=4c356bd1-7d75-33ce-9ff2-0d6fe5630af3"]}],"mendeley":{"formattedCitation":"(Tully, Lincoln, and Hooker 2014)","plainTextFormattedCitation":"(Tully, Lincoln, and Hooker 2014)","previouslyFormattedCitation":"&lt;sup&gt;118&lt;/sup&gt;"},"properties":{"noteIndex":0},"schema":"https://github.com/citation-style-language/schema/raw/master/csl-citation.json"}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(Tully, Lincoln, and Hooker 2014)</w:t>
            </w:r>
            <w:r w:rsidRPr="00101744">
              <w:rPr>
                <w:rFonts w:ascii="Arial" w:eastAsia="Times New Roman" w:hAnsi="Arial" w:cs="Arial"/>
                <w:color w:val="000000"/>
                <w:sz w:val="18"/>
                <w:szCs w:val="18"/>
                <w:lang w:val="en-US" w:eastAsia="pt-PT"/>
              </w:rPr>
              <w:fldChar w:fldCharType="end"/>
            </w:r>
          </w:p>
        </w:tc>
        <w:tc>
          <w:tcPr>
            <w:tcW w:w="709" w:type="dxa"/>
            <w:noWrap/>
            <w:hideMark/>
          </w:tcPr>
          <w:p w14:paraId="67122E8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24</w:t>
            </w:r>
          </w:p>
        </w:tc>
        <w:tc>
          <w:tcPr>
            <w:tcW w:w="709" w:type="dxa"/>
            <w:noWrap/>
            <w:hideMark/>
          </w:tcPr>
          <w:p w14:paraId="3F8F0C1D"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571" w:type="dxa"/>
            <w:noWrap/>
            <w:hideMark/>
          </w:tcPr>
          <w:p w14:paraId="6DD09B09" w14:textId="77777777" w:rsidR="003D1F45" w:rsidRPr="00101744" w:rsidRDefault="003D1F45" w:rsidP="00B60BB2">
            <w:pPr>
              <w:jc w:val="center"/>
              <w:rPr>
                <w:rFonts w:ascii="Arial" w:eastAsia="Times New Roman" w:hAnsi="Arial" w:cs="Arial"/>
                <w:sz w:val="18"/>
                <w:szCs w:val="18"/>
                <w:lang w:val="en-US" w:eastAsia="pt-PT"/>
              </w:rPr>
            </w:pPr>
          </w:p>
        </w:tc>
        <w:tc>
          <w:tcPr>
            <w:tcW w:w="704" w:type="dxa"/>
            <w:noWrap/>
            <w:hideMark/>
          </w:tcPr>
          <w:p w14:paraId="76D894B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35</w:t>
            </w:r>
          </w:p>
        </w:tc>
        <w:tc>
          <w:tcPr>
            <w:tcW w:w="843" w:type="dxa"/>
            <w:noWrap/>
            <w:hideMark/>
          </w:tcPr>
          <w:p w14:paraId="6DCD1DD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19-55</w:t>
            </w:r>
          </w:p>
        </w:tc>
        <w:tc>
          <w:tcPr>
            <w:tcW w:w="2268" w:type="dxa"/>
            <w:gridSpan w:val="2"/>
            <w:noWrap/>
            <w:hideMark/>
          </w:tcPr>
          <w:p w14:paraId="70FED5B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Counting/Calculation</w:t>
            </w:r>
          </w:p>
        </w:tc>
        <w:tc>
          <w:tcPr>
            <w:tcW w:w="708" w:type="dxa"/>
            <w:gridSpan w:val="2"/>
            <w:noWrap/>
            <w:hideMark/>
          </w:tcPr>
          <w:p w14:paraId="7B58A24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22</w:t>
            </w:r>
          </w:p>
        </w:tc>
        <w:tc>
          <w:tcPr>
            <w:tcW w:w="1710" w:type="dxa"/>
            <w:gridSpan w:val="2"/>
          </w:tcPr>
          <w:p w14:paraId="1256091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Tim Trio Siemens</w:t>
            </w:r>
          </w:p>
        </w:tc>
        <w:tc>
          <w:tcPr>
            <w:tcW w:w="1064" w:type="dxa"/>
          </w:tcPr>
          <w:p w14:paraId="09A83B2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SPM8</w:t>
            </w:r>
          </w:p>
        </w:tc>
        <w:tc>
          <w:tcPr>
            <w:tcW w:w="1377" w:type="dxa"/>
          </w:tcPr>
          <w:p w14:paraId="15F15787"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&lt;0.001</w:t>
            </w:r>
          </w:p>
        </w:tc>
        <w:tc>
          <w:tcPr>
            <w:tcW w:w="663" w:type="dxa"/>
          </w:tcPr>
          <w:p w14:paraId="66B79727"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148" w:type="dxa"/>
          </w:tcPr>
          <w:p w14:paraId="2C2EAD74" w14:textId="77777777" w:rsidR="003D1F45" w:rsidRPr="00101744" w:rsidRDefault="003D1F45" w:rsidP="00B60BB2">
            <w:pPr>
              <w:jc w:val="center"/>
              <w:rPr>
                <w:rFonts w:ascii="Arial" w:eastAsia="Times New Roman" w:hAnsi="Arial" w:cs="Arial"/>
                <w:color w:val="000000"/>
                <w:sz w:val="18"/>
                <w:szCs w:val="18"/>
                <w:lang w:val="en-US" w:eastAsia="pt-PT"/>
              </w:rPr>
            </w:pPr>
          </w:p>
        </w:tc>
      </w:tr>
      <w:tr w:rsidR="003D1F45" w:rsidRPr="00101744" w14:paraId="7A3C3F9E" w14:textId="77777777" w:rsidTr="00B60BB2">
        <w:trPr>
          <w:trHeight w:val="300"/>
        </w:trPr>
        <w:tc>
          <w:tcPr>
            <w:tcW w:w="2269" w:type="dxa"/>
            <w:noWrap/>
            <w:hideMark/>
          </w:tcPr>
          <w:p w14:paraId="2812D81A" w14:textId="0B986491"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{"citationItems":[{"id":"ITEM-1","itemData":{"DOI":"10.1162/jocn_a_00286","ISSN":"0898-929X","PMID":"22905818","abstract":"The pFC is critical for cognitive flexibility (i.e., our ability to flexibly adjust behavior to changing environmental demands), but also for cognitive stability (i.e., our ability to follow behavioral plans in the face of distraction). Behavioral research suggests that individuals differ in their cognitive flexibility and stability, and neurocomputational theories of working memory relate this variability to the concept of attractor stability in recurrently connected neural networks. We introduce a novel task paradigm to simultaneously assess flexible switching between task rules (cognitive flexibility) and task performance in the presence of irrelevant distractors (cognitive stability) and to furthermore assess the individual \"spontaneous switching rate\" in response to ambiguous stimuli to quantify the individual dispositional cognitive flexibility in a theoretically motivated way (i.e., as a proxy for attractor stability). Using fMRI in healthy human participants, a common network consisting of parietal and frontal areas was found for task switching and distractor inhibition. More flexible persons showed reduced activation and reduced functional coupling in frontal areas, including the inferior frontal junction, during t</w:instrText>
            </w:r>
            <w:r w:rsidR="00C14016">
              <w:rPr>
                <w:rFonts w:ascii="Arial" w:hAnsi="Arial" w:cs="Arial"/>
                <w:color w:val="000000"/>
                <w:sz w:val="18"/>
                <w:szCs w:val="18"/>
                <w:lang w:eastAsia="pt-PT"/>
              </w:rPr>
              <w:instrText>ask switching. Most importantly, the individual spontaneous switching rate antagonistically affected the functional coupling between inferior frontal junction and the superior frontal gyrus during task switching and distractor inhibition, respectively, indicating that individual differences in cognitive flexibility and stability are indeed related to a common prefrontal neural mechanism. We suggest that the concept of attractor stability of prefrontal working memory networks is a meaningful model for individual differences in cognitive stability versus flexibility.","author":[{"dropping-particle":"","family":"Armbruster","given":"Diana J. N.","non-dropping-particle":"","parse-names":false,"suffix":""},{"dropping-particle":"","family":"Ueltzhöffer","given":"Kai","non-dropping-particle":"","parse-names":false,"suffix":""},{"dropping-particle":"","family":"Basten","given":"Ulrike","non-dropping-particle":"","parse-names":false,"suffix":""},{"dropping-particle":"","family":"Fiebach","given":"Christian J.","non-dropping-particle":"","parse-names":false,"suffix":""}],"container-title":"Journal of Cognitive Neuroscience","id":"ITEM-1","issue":"12","issued":{"date-parts":[["2012","12"]]},"page":"2385-2399","title":"Prefrontal Cortical Mechanisms Underlying Individual Differences in Cognitive Flexibility and Stability","type":"article-journal","volume":"24"},"uris":["http://www.mendeley.com/documents/?uuid=ce3fdd80-d71d-3862-949c-fd6d2694c298"]}],"mendeley":{"formattedCitation":"(Armbruster et al. 2012)","plainTextFormattedCitation":"(Armbruster et al. 2012)","previouslyFormattedCitation":"&lt;sup&gt;119&lt;/sup&gt;"},"properties":{"noteIndex":0},"schema":"https://github.com/citation-style-language/schema/raw/master/csl-citation.json"}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(Armbruster et al. 2012)</w:t>
            </w:r>
            <w:r w:rsidRPr="00101744">
              <w:rPr>
                <w:rFonts w:ascii="Arial" w:eastAsia="Times New Roman" w:hAnsi="Arial" w:cs="Arial"/>
                <w:color w:val="000000"/>
                <w:sz w:val="18"/>
                <w:szCs w:val="18"/>
                <w:lang w:val="en-US" w:eastAsia="pt-PT"/>
              </w:rPr>
              <w:fldChar w:fldCharType="end"/>
            </w:r>
          </w:p>
        </w:tc>
        <w:tc>
          <w:tcPr>
            <w:tcW w:w="709" w:type="dxa"/>
            <w:noWrap/>
            <w:hideMark/>
          </w:tcPr>
          <w:p w14:paraId="75F9346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w:t>
            </w:r>
          </w:p>
        </w:tc>
        <w:tc>
          <w:tcPr>
            <w:tcW w:w="709" w:type="dxa"/>
            <w:noWrap/>
            <w:hideMark/>
          </w:tcPr>
          <w:p w14:paraId="745D821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571" w:type="dxa"/>
            <w:noWrap/>
            <w:hideMark/>
          </w:tcPr>
          <w:p w14:paraId="42552258" w14:textId="77777777" w:rsidR="003D1F45" w:rsidRPr="00101744" w:rsidRDefault="003D1F45" w:rsidP="00B60BB2">
            <w:pPr>
              <w:jc w:val="center"/>
              <w:rPr>
                <w:rFonts w:ascii="Arial" w:eastAsia="Times New Roman" w:hAnsi="Arial" w:cs="Arial"/>
                <w:sz w:val="18"/>
                <w:szCs w:val="18"/>
                <w:lang w:val="en-US" w:eastAsia="pt-PT"/>
              </w:rPr>
            </w:pPr>
            <w:r w:rsidRPr="00101744">
              <w:rPr>
                <w:rFonts w:ascii="Arial" w:eastAsia="Times New Roman" w:hAnsi="Arial" w:cs="Arial"/>
                <w:color w:val="000000"/>
                <w:sz w:val="18"/>
                <w:szCs w:val="18"/>
                <w:lang w:val="en-US"/>
              </w:rPr>
              <w:t>10</w:t>
            </w:r>
          </w:p>
        </w:tc>
        <w:tc>
          <w:tcPr>
            <w:tcW w:w="704" w:type="dxa"/>
            <w:noWrap/>
            <w:hideMark/>
          </w:tcPr>
          <w:p w14:paraId="5713706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23</w:t>
            </w:r>
          </w:p>
        </w:tc>
        <w:tc>
          <w:tcPr>
            <w:tcW w:w="843" w:type="dxa"/>
            <w:noWrap/>
            <w:hideMark/>
          </w:tcPr>
          <w:p w14:paraId="1FCBB82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20-32</w:t>
            </w:r>
          </w:p>
        </w:tc>
        <w:tc>
          <w:tcPr>
            <w:tcW w:w="2268" w:type="dxa"/>
            <w:gridSpan w:val="2"/>
            <w:noWrap/>
            <w:hideMark/>
          </w:tcPr>
          <w:p w14:paraId="65643B0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Number comparison</w:t>
            </w:r>
          </w:p>
        </w:tc>
        <w:tc>
          <w:tcPr>
            <w:tcW w:w="708" w:type="dxa"/>
            <w:gridSpan w:val="2"/>
            <w:noWrap/>
            <w:hideMark/>
          </w:tcPr>
          <w:p w14:paraId="513988B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37</w:t>
            </w:r>
          </w:p>
        </w:tc>
        <w:tc>
          <w:tcPr>
            <w:tcW w:w="1710" w:type="dxa"/>
            <w:gridSpan w:val="2"/>
          </w:tcPr>
          <w:p w14:paraId="273E69B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Trio Siemens</w:t>
            </w:r>
          </w:p>
        </w:tc>
        <w:tc>
          <w:tcPr>
            <w:tcW w:w="1064" w:type="dxa"/>
          </w:tcPr>
          <w:p w14:paraId="206947E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SPM8</w:t>
            </w:r>
          </w:p>
        </w:tc>
        <w:tc>
          <w:tcPr>
            <w:tcW w:w="1377" w:type="dxa"/>
          </w:tcPr>
          <w:p w14:paraId="01F9116A"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&lt;0.005</w:t>
            </w:r>
          </w:p>
        </w:tc>
        <w:tc>
          <w:tcPr>
            <w:tcW w:w="663" w:type="dxa"/>
          </w:tcPr>
          <w:p w14:paraId="4B1DB97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4E60FFA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r>
      <w:tr w:rsidR="003D1F45" w:rsidRPr="00101744" w14:paraId="025B9983" w14:textId="77777777" w:rsidTr="00B60BB2">
        <w:trPr>
          <w:trHeight w:val="300"/>
        </w:trPr>
        <w:tc>
          <w:tcPr>
            <w:tcW w:w="2269" w:type="dxa"/>
            <w:noWrap/>
            <w:hideMark/>
          </w:tcPr>
          <w:p w14:paraId="74619911" w14:textId="7665060B"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{"citationItems":[{"id":"ITEM-1","itemData":{"DOI":"10.1002/hbm.20433","ISSN":"10659471","PMID":"17705220","abstract":"Months, days of the week, and numbers differ from other verbal concepts because they are ordered in a sequence, whereas no order is imposed on members of other categories, such as animals or tools. Recent studies suggest that numbers activate a representation of their quantity within the intraparietal sulcus (IPS) automatically, that is, in tasks that do not require the processing of quantity. It is unclear, however, whether ordered verbal materials in general and not only numbers activate the IPS in such tasks. In the present functional magnetic resonance imaging study word generation of months, numbers, and animals were compared. Word generation of numbers and nonnumerical materials from an ordered category (months) activated the IPS more strongly than generating items from a not-ordered category such as animals or the verbal control conditions. An ROI analysis of three subregions within the anterior IPS revealed that the most anterior and lateral of these regions, human intraparietal area hIP2, shows a greater sensitivity to ordered materials than the other two areas, hIP1 and hIP3. Interestingly, no difference in activation was observed within the IPS between numbers and months suggesting that the activation of the IPS might not be modulated by the additional quantity information carried by numbers.","author":[{"dropping-particle":"","family":"Ischebeck","given":"Anja","non-dropping-particle":"","parse-names":false,"suffix":""},{"dropping-particle":"","family":"Heim","given":"Stefan","non-dropping-particle":"","parse-names":false,"suffix":""},{"dropping-particle":"","family":"Siedentopf","given":"Christian","non-dropping-particle":"","parse-names":false,"suffix":""},{"dropping-particle":"","family":"Zamarian","g</w:instrText>
            </w:r>
            <w:r w:rsidR="00C14016" w:rsidRPr="00C14016">
              <w:rPr>
                <w:rFonts w:ascii="Arial" w:hAnsi="Arial" w:cs="Arial"/>
                <w:color w:val="000000"/>
                <w:sz w:val="18"/>
                <w:szCs w:val="18"/>
                <w:lang w:val="en-GB" w:eastAsia="pt-PT"/>
              </w:rPr>
              <w:instrText>iven":"Laura","non-dropping-particle":"","parse-names":false,"suffix":""},{"dropping-particle":"","family":"Schocke","given":"Michael","non-dropping-particle":"","parse-names":false,"suffix":""},{"dropping-particle":"","family":"Kremser","given":"Christian","non-dropping-particle":"","parse-names":false,"suffix":""},{"dropping-particle":"","family":"Egger","given":"Karl","non-dropping-particle":"","parse-names":false,"suffix":""},{"dropping-particle":"","family":"Strenge","given":"Hans","non-dropping-particle":"","parse-names":false,"suffix":""},{"dropping-particle":"","family":"Scheperjans","given":"Filip","non-dropping-particle":"","parse-names":false,"suffix":""},{"dropping-particle":"","family":"Delazer","given":"Margarete","non-dropping-particle":"","parse-names":false,"suffix":""}],"container-title":"Human Brain Mapping","id":"ITEM-1","issue":"8","issued":{"date-parts":[["2008","8"]]},"page":"894-909","title":"Are numbers special? Comparing the generation of verbal materials from ordered categories (months) to numbers and other categories (animals) in an fMRI study","type":"article-journal","volume":"29"},"uris":["http://www.mendeley.com/documents/?uuid=beac49ac-c2bd-307e-9534-c8d105f92aa4"]}],"mendeley":{"formattedCitation":"(Ischebeck et al. 2008)","plainTextFormattedCitation":"(Ischebeck et al. 2008)","previouslyFormattedCitation":"&lt;sup&gt;120&lt;/sup&gt;"},"properties":{"noteIndex":0},"schema":"https://github.com/citation-style-language/schema/raw/master/csl-citation.json"}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(Ischebeck et al. 2008)</w:t>
            </w:r>
            <w:r w:rsidRPr="00101744">
              <w:rPr>
                <w:rFonts w:ascii="Arial" w:eastAsia="Times New Roman" w:hAnsi="Arial" w:cs="Arial"/>
                <w:color w:val="000000"/>
                <w:sz w:val="18"/>
                <w:szCs w:val="18"/>
                <w:lang w:val="en-US" w:eastAsia="pt-PT"/>
              </w:rPr>
              <w:fldChar w:fldCharType="end"/>
            </w:r>
          </w:p>
        </w:tc>
        <w:tc>
          <w:tcPr>
            <w:tcW w:w="709" w:type="dxa"/>
            <w:noWrap/>
            <w:hideMark/>
          </w:tcPr>
          <w:p w14:paraId="5F3A070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w:t>
            </w:r>
          </w:p>
        </w:tc>
        <w:tc>
          <w:tcPr>
            <w:tcW w:w="709" w:type="dxa"/>
            <w:noWrap/>
            <w:hideMark/>
          </w:tcPr>
          <w:p w14:paraId="502B858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571" w:type="dxa"/>
            <w:noWrap/>
            <w:hideMark/>
          </w:tcPr>
          <w:p w14:paraId="30ADA56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11</w:t>
            </w:r>
          </w:p>
        </w:tc>
        <w:tc>
          <w:tcPr>
            <w:tcW w:w="704" w:type="dxa"/>
            <w:noWrap/>
            <w:hideMark/>
          </w:tcPr>
          <w:p w14:paraId="10AECD0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28</w:t>
            </w:r>
          </w:p>
        </w:tc>
        <w:tc>
          <w:tcPr>
            <w:tcW w:w="843" w:type="dxa"/>
            <w:noWrap/>
            <w:hideMark/>
          </w:tcPr>
          <w:p w14:paraId="1CFBC435"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01A2F01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Arithmetic operations</w:t>
            </w:r>
          </w:p>
        </w:tc>
        <w:tc>
          <w:tcPr>
            <w:tcW w:w="708" w:type="dxa"/>
            <w:gridSpan w:val="2"/>
            <w:noWrap/>
            <w:hideMark/>
          </w:tcPr>
          <w:p w14:paraId="62E2274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11</w:t>
            </w:r>
          </w:p>
        </w:tc>
        <w:tc>
          <w:tcPr>
            <w:tcW w:w="1710" w:type="dxa"/>
            <w:gridSpan w:val="2"/>
          </w:tcPr>
          <w:p w14:paraId="1908D49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1.5T Symphony Siemens</w:t>
            </w:r>
          </w:p>
        </w:tc>
        <w:tc>
          <w:tcPr>
            <w:tcW w:w="1064" w:type="dxa"/>
          </w:tcPr>
          <w:p w14:paraId="02D059F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SPM2</w:t>
            </w:r>
          </w:p>
        </w:tc>
        <w:tc>
          <w:tcPr>
            <w:tcW w:w="1377" w:type="dxa"/>
          </w:tcPr>
          <w:p w14:paraId="0E18C3B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P(FWE)&lt;0.001</w:t>
            </w:r>
          </w:p>
        </w:tc>
        <w:tc>
          <w:tcPr>
            <w:tcW w:w="663" w:type="dxa"/>
          </w:tcPr>
          <w:p w14:paraId="6718C23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3000</w:t>
            </w:r>
          </w:p>
        </w:tc>
        <w:tc>
          <w:tcPr>
            <w:tcW w:w="1148" w:type="dxa"/>
          </w:tcPr>
          <w:p w14:paraId="3BDF58B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r>
      <w:tr w:rsidR="003D1F45" w:rsidRPr="00101744" w14:paraId="5932C287" w14:textId="77777777" w:rsidTr="00B60BB2">
        <w:trPr>
          <w:trHeight w:val="300"/>
        </w:trPr>
        <w:tc>
          <w:tcPr>
            <w:tcW w:w="2269" w:type="dxa"/>
            <w:noWrap/>
            <w:hideMark/>
          </w:tcPr>
          <w:p w14:paraId="0F1CE413" w14:textId="5C8424B8"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{"citationItems":[{"id":"ITEM-1","itemData":{"ISSN":"0896-6273","PMID":"15046729","abstract":"How are comparative judgments performed in the human brain? We scanned subjects with fMRI while they compared stimuli for size, luminance, or number. Regions involved in comparative judgments were identified using three criteria: task-related activation, presence of a distance effect, and interference of one dimension onto the other. We observed considerable overlap in the neural substrates of the three comparison tasks. Interestingly, the amount of overlap predicted the amount of cross-dimensional interference: in both behavior and fMRI, number interfered with size, and size with luminance, but number did not interfere with luminance. The results suggest that during comparative judgments, the relevant continuous quantities are represented in distributed and overlapping neural populations, with number and size engaging a common parietal spatial code, while size and luminance engage shared occipito-temporal perceptual representations.","author":[{"dropping-particle":"","family":"Pinel","given":"Philippe","non-dropping-particle":"","parse-names":false,"suffix":""},{"dropping-particle":"","family":"Piazza","given":"Manuela","non-dropping-particle":"","parse-names":false,"suffix":""},{"dropping-particle":"","family":"Bihan","given":"Denis","non-dropping-partic</w:instrText>
            </w:r>
            <w:r w:rsidR="00C14016">
              <w:rPr>
                <w:rFonts w:ascii="Arial" w:hAnsi="Arial" w:cs="Arial"/>
                <w:color w:val="000000"/>
                <w:sz w:val="18"/>
                <w:szCs w:val="18"/>
                <w:lang w:eastAsia="pt-PT"/>
              </w:rPr>
              <w:instrText>le":"Le","parse-names":false,"suffix":""},{"dropping-particle":"","family":"Dehaene","given":"Stanislas","non-dropping-particle":"","parse-names":false,"suffix":""}],"container-title":"Neuron","id":"ITEM-1","issue":"6","issued":{"date-parts":[["2004","3","25"]]},"page":"983-93","title":"Distributed and overlapping cerebral representations of number, size, and luminance during comparative judgments.","type":"article-journal","volume":"41"},"uris":["http://www.mendeley.com/documents/?uuid=92a8d386-b99b-337b-991a-1cc3629f0e4a"]}],"mendeley":{"formattedCitation":"(Philippe Pinel et al. 2004)","plainTextFormattedCitation":"(Philippe Pinel et al. 2004)","previouslyFormattedCitation":"&lt;sup&gt;121&lt;/sup&gt;"},"properties":{"noteIndex":0},"schema":"https://github.com/citation-style-language/schema/raw/master/csl-citation.json"}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(Philippe Pinel et al. 2004)</w:t>
            </w:r>
            <w:r w:rsidRPr="00101744">
              <w:rPr>
                <w:rFonts w:ascii="Arial" w:eastAsia="Times New Roman" w:hAnsi="Arial" w:cs="Arial"/>
                <w:color w:val="000000"/>
                <w:sz w:val="18"/>
                <w:szCs w:val="18"/>
                <w:lang w:val="en-US" w:eastAsia="pt-PT"/>
              </w:rPr>
              <w:fldChar w:fldCharType="end"/>
            </w:r>
          </w:p>
        </w:tc>
        <w:tc>
          <w:tcPr>
            <w:tcW w:w="709" w:type="dxa"/>
            <w:noWrap/>
            <w:hideMark/>
          </w:tcPr>
          <w:p w14:paraId="62666A3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w:t>
            </w:r>
          </w:p>
        </w:tc>
        <w:tc>
          <w:tcPr>
            <w:tcW w:w="709" w:type="dxa"/>
            <w:noWrap/>
            <w:hideMark/>
          </w:tcPr>
          <w:p w14:paraId="0E04E0F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571" w:type="dxa"/>
            <w:noWrap/>
            <w:hideMark/>
          </w:tcPr>
          <w:p w14:paraId="6C377E0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9</w:t>
            </w:r>
          </w:p>
        </w:tc>
        <w:tc>
          <w:tcPr>
            <w:tcW w:w="704" w:type="dxa"/>
            <w:noWrap/>
            <w:hideMark/>
          </w:tcPr>
          <w:p w14:paraId="27E9EC7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24</w:t>
            </w:r>
          </w:p>
        </w:tc>
        <w:tc>
          <w:tcPr>
            <w:tcW w:w="843" w:type="dxa"/>
            <w:noWrap/>
            <w:hideMark/>
          </w:tcPr>
          <w:p w14:paraId="542268A0"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4714AD9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Arithmetic operations</w:t>
            </w:r>
          </w:p>
        </w:tc>
        <w:tc>
          <w:tcPr>
            <w:tcW w:w="708" w:type="dxa"/>
            <w:gridSpan w:val="2"/>
            <w:noWrap/>
            <w:hideMark/>
          </w:tcPr>
          <w:p w14:paraId="7F53A60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28</w:t>
            </w:r>
          </w:p>
        </w:tc>
        <w:tc>
          <w:tcPr>
            <w:tcW w:w="1710" w:type="dxa"/>
            <w:gridSpan w:val="2"/>
          </w:tcPr>
          <w:p w14:paraId="4714911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Bruker</w:t>
            </w:r>
          </w:p>
        </w:tc>
        <w:tc>
          <w:tcPr>
            <w:tcW w:w="1064" w:type="dxa"/>
          </w:tcPr>
          <w:p w14:paraId="7B0FDF1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SPM99</w:t>
            </w:r>
          </w:p>
        </w:tc>
        <w:tc>
          <w:tcPr>
            <w:tcW w:w="1377" w:type="dxa"/>
          </w:tcPr>
          <w:p w14:paraId="2AEDB811"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Pcorr</w:t>
            </w:r>
            <w:proofErr w:type="spellEnd"/>
            <w:r w:rsidRPr="00101744">
              <w:rPr>
                <w:rFonts w:ascii="Arial" w:eastAsia="Times New Roman" w:hAnsi="Arial" w:cs="Arial"/>
                <w:color w:val="000000"/>
                <w:sz w:val="18"/>
                <w:szCs w:val="18"/>
                <w:lang w:val="en-US"/>
              </w:rPr>
              <w:t>&lt;0.05</w:t>
            </w:r>
          </w:p>
        </w:tc>
        <w:tc>
          <w:tcPr>
            <w:tcW w:w="663" w:type="dxa"/>
          </w:tcPr>
          <w:p w14:paraId="7CBB27D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2400</w:t>
            </w:r>
          </w:p>
        </w:tc>
        <w:tc>
          <w:tcPr>
            <w:tcW w:w="1148" w:type="dxa"/>
          </w:tcPr>
          <w:p w14:paraId="32F4176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4.5</w:t>
            </w:r>
          </w:p>
        </w:tc>
      </w:tr>
      <w:tr w:rsidR="003D1F45" w:rsidRPr="00101744" w14:paraId="02CAF76C" w14:textId="77777777" w:rsidTr="00B60BB2">
        <w:trPr>
          <w:trHeight w:val="300"/>
        </w:trPr>
        <w:tc>
          <w:tcPr>
            <w:tcW w:w="2269" w:type="dxa"/>
            <w:noWrap/>
            <w:hideMark/>
          </w:tcPr>
          <w:p w14:paraId="0B5D9567" w14:textId="4583D144"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{"citationItems":[{"id":"ITEM-1","itemData":{"DOI":"10.1162/jocn.2008.21159","ISSN":"0898-929X","PMID":"19016605","abstract":"As literate adults, we appreciate numerical values as abstract entities that can be represented by a numeral, a word, a number of lines on a scorecard, or a sequence of chimes from a clock. This abstract, notation-independent appreciation of numbers develops gradually over the first several years of life. Here, using functional magnetic resonance imaging, we examine the brain mechanisms that 6- and 7-year-old children and adults recruit to solve numerical comparisons across different notation systems. The data reveal that when young children compare numerical values in symbolic and nonsymbolic notations, they invoke the same network of brain regions as adults including occipito-temporal and parietal cortex. However, children also recruit inferior frontal cortex during these numerical tasks to a much greater degree than adults. Our data lend additional support to an emerging consensus from adult neuroimaging, nonhuman primate neurophysiology, and computational modeling studies that a core neural system integrates notation-independent numerical representations throughout development but, early in development, higher-order brain mechanisms mediate this process.","author":[{"dropping-particle":"","family":"Cantlon","given":"Jessica F.","non-dropping-particle":"","parse-names":false,"suffix":""},{"dropping-particle":"","family":"Libertus","given":"Melissa E.","non-dropping-particle":"","parse-names":false,"suffix":""},{"dropping-particle":"","family":"Pinel","given":"Philippe","non-dropping-particle":"","parse-names":false,"suffix":""},{"dropping-particle":"","family":"Dehaene","given":"Stanislas","non-dropping-particle":"","parse-names":false,"suffix":""},{"dropping-particle":"","family":"Brannon","given":"Elizabeth M.","non-dropping-particle":"","parse-names":false,"suffix":""},{"dropping-particle":"","family":"Pelphrey","given":"Kevin A.","non-dropping-particle":"","parse-names":false,"suffix":""}],"container-title":"Journal of Cognitive Neuroscience","id":"ITEM-1","issue":"11","issued":{"date-parts":[["2009","11"]]},"page":"2217-2229","title":"The Neural Development of an Abstract Concept of Number","type":"article-journal","volume":"21"},"uris":["http://www.mendeley.com/documents/?uuid=55ba990e-2df1-3000-a784-3fee113b8bdd"]}],"mendeley":{"formattedCitation":"(Cantlon et al. 2009)","plainTextFormattedCitation":"(Cantlon et al. 2009)","previouslyFormattedCitation":"&lt;sup&gt;122&lt;/sup&gt;"},"properties":{"noteIndex":0},"schema":"https://github.com/citation-style-language/schema/raw/master/csl-citation.json"}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(Cantlon et al. 2009)</w:t>
            </w:r>
            <w:r w:rsidRPr="00101744">
              <w:rPr>
                <w:rFonts w:ascii="Arial" w:eastAsia="Times New Roman" w:hAnsi="Arial" w:cs="Arial"/>
                <w:color w:val="000000"/>
                <w:sz w:val="18"/>
                <w:szCs w:val="18"/>
                <w:lang w:val="en-US" w:eastAsia="pt-PT"/>
              </w:rPr>
              <w:fldChar w:fldCharType="end"/>
            </w:r>
          </w:p>
        </w:tc>
        <w:tc>
          <w:tcPr>
            <w:tcW w:w="709" w:type="dxa"/>
            <w:noWrap/>
            <w:hideMark/>
          </w:tcPr>
          <w:p w14:paraId="20395A8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14</w:t>
            </w:r>
          </w:p>
        </w:tc>
        <w:tc>
          <w:tcPr>
            <w:tcW w:w="709" w:type="dxa"/>
            <w:noWrap/>
            <w:hideMark/>
          </w:tcPr>
          <w:p w14:paraId="535292C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571" w:type="dxa"/>
            <w:noWrap/>
            <w:hideMark/>
          </w:tcPr>
          <w:p w14:paraId="21D6D7A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704" w:type="dxa"/>
            <w:noWrap/>
            <w:hideMark/>
          </w:tcPr>
          <w:p w14:paraId="4A1C144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24</w:t>
            </w:r>
          </w:p>
        </w:tc>
        <w:tc>
          <w:tcPr>
            <w:tcW w:w="843" w:type="dxa"/>
            <w:noWrap/>
            <w:hideMark/>
          </w:tcPr>
          <w:p w14:paraId="3243F118"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7384E9C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Magnitude comparison</w:t>
            </w:r>
          </w:p>
        </w:tc>
        <w:tc>
          <w:tcPr>
            <w:tcW w:w="708" w:type="dxa"/>
            <w:gridSpan w:val="2"/>
            <w:noWrap/>
            <w:hideMark/>
          </w:tcPr>
          <w:p w14:paraId="4D08684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1710" w:type="dxa"/>
            <w:gridSpan w:val="2"/>
          </w:tcPr>
          <w:p w14:paraId="5694690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3T </w:t>
            </w:r>
            <w:proofErr w:type="spellStart"/>
            <w:r w:rsidRPr="00101744">
              <w:rPr>
                <w:rFonts w:ascii="Arial" w:eastAsia="Times New Roman" w:hAnsi="Arial" w:cs="Arial"/>
                <w:color w:val="000000"/>
                <w:sz w:val="18"/>
                <w:szCs w:val="18"/>
                <w:lang w:val="en-US"/>
              </w:rPr>
              <w:t>Signa</w:t>
            </w:r>
            <w:proofErr w:type="spellEnd"/>
            <w:r w:rsidRPr="00101744">
              <w:rPr>
                <w:rFonts w:ascii="Arial" w:eastAsia="Times New Roman" w:hAnsi="Arial" w:cs="Arial"/>
                <w:color w:val="000000"/>
                <w:sz w:val="18"/>
                <w:szCs w:val="18"/>
                <w:lang w:val="en-US"/>
              </w:rPr>
              <w:t xml:space="preserve"> Excite GE</w:t>
            </w:r>
          </w:p>
        </w:tc>
        <w:tc>
          <w:tcPr>
            <w:tcW w:w="1064" w:type="dxa"/>
          </w:tcPr>
          <w:p w14:paraId="168EA64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SPM2</w:t>
            </w:r>
          </w:p>
        </w:tc>
        <w:tc>
          <w:tcPr>
            <w:tcW w:w="1377" w:type="dxa"/>
          </w:tcPr>
          <w:p w14:paraId="798D14F4"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Pcluster</w:t>
            </w:r>
            <w:proofErr w:type="spellEnd"/>
            <w:r w:rsidRPr="00101744">
              <w:rPr>
                <w:rFonts w:ascii="Arial" w:eastAsia="Times New Roman" w:hAnsi="Arial" w:cs="Arial"/>
                <w:color w:val="000000"/>
                <w:sz w:val="18"/>
                <w:szCs w:val="18"/>
                <w:lang w:val="en-US"/>
              </w:rPr>
              <w:t>&lt;0.05</w:t>
            </w:r>
          </w:p>
        </w:tc>
        <w:tc>
          <w:tcPr>
            <w:tcW w:w="663" w:type="dxa"/>
          </w:tcPr>
          <w:p w14:paraId="3469D2D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5AC997A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w:t>
            </w:r>
          </w:p>
        </w:tc>
      </w:tr>
      <w:tr w:rsidR="003D1F45" w:rsidRPr="00101744" w14:paraId="609578F9" w14:textId="77777777" w:rsidTr="00B60BB2">
        <w:trPr>
          <w:trHeight w:val="300"/>
        </w:trPr>
        <w:tc>
          <w:tcPr>
            <w:tcW w:w="2269" w:type="dxa"/>
            <w:noWrap/>
            <w:hideMark/>
          </w:tcPr>
          <w:p w14:paraId="3F82AE58" w14:textId="7376C5C0"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{"citationItems":[{"id":"ITEM-1","itemData":{"DOI":"10.1016/j.brainres.2006.05.104","ISSN":"00068993","PMID":"16828717","abstract":"Human adults can assess the number of objects in a set (numerosity) by approximate estimation or by exact counting. There is evidence suggesting that numerosity estimation depends on a dedicated mechanism that is a-modal and non-verbal. By contrast, counting requires the coordination between the pre-existing numerosity estimation abilities with language and one-to-one correspondence principles. In this paper we investigate with fMRI the neural correlates of numerosity estimation and counting in human adults, using both visual and auditory stimuli. Results show that attending to approximate numerosity correlates with increased activity of a right lateralized fronto-parietal cortical network, and that this activity is independent of the stimuli presentation's modality. Counting activates additional left prefrontal, parietal, and bilateral premotor areas, again independently from stimulus modality. These results dissociate two neuronal systems that underlie different numerosity judgements.","author":[{"dropping-particle":"","family":"Piazza","given":"Manuela","non-dropping-particle":"","parse-names":false,"suffix":""},{"dropping-particle":"","family":"Mechelli","given":"Andrea","non-dropping-particle":"","parse-names":false,"suffix":""},{"dropping-particle":"","family":"Price","given":"Cathy J.","non-dropping-particle":"","parse-names":false,"suffix":""},{"dropping-particle":"","family":"Butterworth","given":"Brian","non-dropping-particle":"","parse-names":false,"suffix":""}],"container-title":"Brain Research","id":"ITEM-1","issue":"1","issued":{"date-parts":[["2006","8","23"]]},"page":"177-188","title":"Exact and approximate judgements of visual and auditory numerosity: An fMRI study","type":"article-journal","volume":"1106"},"uris":["http://www.mendeley.com/documents/?uuid=33e7cc27-a1b9-32c0-a071-0f30ecad73f5"]}],"mendeley":{"formattedCitation":"(Piazza et al. 2006)","plainTextFormattedCitation":"(Piazza et al. 2006)","previouslyFormattedCitation":"&lt;sup&gt;123&lt;/sup&gt;"},"properties":{"noteIndex":0},"schema":"https://github.com/citation-style-language/schema/raw/master/csl-citation.json"}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(Piazza et al. 2006)</w:t>
            </w:r>
            <w:r w:rsidRPr="00101744">
              <w:rPr>
                <w:rFonts w:ascii="Arial" w:eastAsia="Times New Roman" w:hAnsi="Arial" w:cs="Arial"/>
                <w:color w:val="000000"/>
                <w:sz w:val="18"/>
                <w:szCs w:val="18"/>
                <w:lang w:val="en-US" w:eastAsia="pt-PT"/>
              </w:rPr>
              <w:fldChar w:fldCharType="end"/>
            </w:r>
          </w:p>
        </w:tc>
        <w:tc>
          <w:tcPr>
            <w:tcW w:w="709" w:type="dxa"/>
            <w:noWrap/>
            <w:hideMark/>
          </w:tcPr>
          <w:p w14:paraId="1367441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709" w:type="dxa"/>
            <w:noWrap/>
            <w:hideMark/>
          </w:tcPr>
          <w:p w14:paraId="7BABA98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571" w:type="dxa"/>
            <w:noWrap/>
            <w:hideMark/>
          </w:tcPr>
          <w:p w14:paraId="0392857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c>
          <w:tcPr>
            <w:tcW w:w="704" w:type="dxa"/>
            <w:noWrap/>
            <w:hideMark/>
          </w:tcPr>
          <w:p w14:paraId="27170AB6"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843" w:type="dxa"/>
            <w:noWrap/>
            <w:hideMark/>
          </w:tcPr>
          <w:p w14:paraId="3A02B1D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23-31</w:t>
            </w:r>
          </w:p>
        </w:tc>
        <w:tc>
          <w:tcPr>
            <w:tcW w:w="2268" w:type="dxa"/>
            <w:gridSpan w:val="2"/>
            <w:noWrap/>
            <w:hideMark/>
          </w:tcPr>
          <w:p w14:paraId="146DA17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Counting and Magnitude comparison</w:t>
            </w:r>
          </w:p>
        </w:tc>
        <w:tc>
          <w:tcPr>
            <w:tcW w:w="708" w:type="dxa"/>
            <w:gridSpan w:val="2"/>
            <w:noWrap/>
            <w:hideMark/>
          </w:tcPr>
          <w:p w14:paraId="4CD8C8B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30</w:t>
            </w:r>
          </w:p>
        </w:tc>
        <w:tc>
          <w:tcPr>
            <w:tcW w:w="1710" w:type="dxa"/>
            <w:gridSpan w:val="2"/>
          </w:tcPr>
          <w:p w14:paraId="339A11C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2T Vision Siemens</w:t>
            </w:r>
          </w:p>
        </w:tc>
        <w:tc>
          <w:tcPr>
            <w:tcW w:w="1064" w:type="dxa"/>
          </w:tcPr>
          <w:p w14:paraId="38A95A6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SPM99</w:t>
            </w:r>
          </w:p>
        </w:tc>
        <w:tc>
          <w:tcPr>
            <w:tcW w:w="1377" w:type="dxa"/>
          </w:tcPr>
          <w:p w14:paraId="53FD3FEF"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&lt;0.05</w:t>
            </w:r>
          </w:p>
        </w:tc>
        <w:tc>
          <w:tcPr>
            <w:tcW w:w="663" w:type="dxa"/>
          </w:tcPr>
          <w:p w14:paraId="358AA7F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2974</w:t>
            </w:r>
          </w:p>
        </w:tc>
        <w:tc>
          <w:tcPr>
            <w:tcW w:w="1148" w:type="dxa"/>
          </w:tcPr>
          <w:p w14:paraId="235A770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w:t>
            </w:r>
          </w:p>
        </w:tc>
      </w:tr>
      <w:tr w:rsidR="003D1F45" w:rsidRPr="00101744" w14:paraId="719C43B0" w14:textId="77777777" w:rsidTr="00B60BB2">
        <w:trPr>
          <w:trHeight w:val="300"/>
        </w:trPr>
        <w:tc>
          <w:tcPr>
            <w:tcW w:w="2269" w:type="dxa"/>
            <w:noWrap/>
            <w:hideMark/>
          </w:tcPr>
          <w:p w14:paraId="614EC717" w14:textId="15963609" w:rsidR="003D1F45" w:rsidRPr="00802282" w:rsidRDefault="003D1F45" w:rsidP="00C14016">
            <w:pPr>
              <w:rPr>
                <w:rFonts w:ascii="Arial" w:eastAsia="Times New Roman" w:hAnsi="Arial" w:cs="Arial"/>
                <w:color w:val="000000"/>
                <w:sz w:val="18"/>
                <w:szCs w:val="18"/>
                <w:lang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{"citationItems":[{"id":"ITEM-1","itemData":{"ISSN":"0959-4965","PMID":"16237324","abstract":"Using functional magnetic resonance imaging, we examined developmental differences in the functional neuroanatomy underlying symbolic number processing. Twelve adults and 12 children had to judge the relative magnitude of two single-digit Arabic numerals. We investigated which brain areas were significantly (P&lt;0.005, uncorrected) more activated during processing of number pairs with small relative to large numerical distances. In the adult group, symbolic distance modulated bilateral parietal regions. In contrast, the group of children primarily engaged frontal regions. We conclude that the functional neuroanatomy underlying symbolic numerical magnitude processing undergoes an ontogenetic shift towards greater parietal engagement. This change may reflect maturation of underlying representations and increasing automaticity in mapping between numerical symbols and the magnitudes they represent.","author":[{"dropping-particle":"","family":"Ansari","given":"Daniel","non-dropping-particle":"","parse-names":false,"suffix":""},{"dropping-particle":"","family":"Garcia","given":"Nicolas","non-dropping-particle":"","parse-names":false,"suffix":""},{"dropping-particle":"","family":"Lucas","given":"Elizabeth","non-dropping-particle":"","parse-names":false,"suffix":""},{"dropping-particle":"","family":"Hamon","given":"Kathleen","non-dropping-particle":"","parse-names":false,"suffix":""},{"dropping-particle":"","family":"Dhital","given":"Bibek","non-dropping-particle":"","parse-names":false,"suffix":""}],"container-title":"Neuroreport","id":"ITEM-1","issue":"16","issued":{"date-parts":[["2005","11","7"]]},"page":"1769-73","title":"Neural correlates of symbolic number processing in children and adults.","type":"article-journal","volume":"16"},"uris":["http://www.mendeley.com/documents/?uuid=e8e31ced-1f4f-3b78-a309-7b1d48428a0d"]}],"mendeley":{"formattedCitation":"(Ansari et al. 2005)","plainTextFormattedCitation":"(Ansari et al. 2005)","previouslyFormattedCitation":"&lt;sup&gt;124&lt;/sup&gt;"},"properties":{"noteIndex":0},"schema":"https://github.com/citation-style-language/schema/raw/master/csl-citation.json"}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(Ansari et al. 2005)</w:t>
            </w:r>
            <w:r w:rsidRPr="00101744">
              <w:rPr>
                <w:rFonts w:ascii="Arial" w:eastAsia="Times New Roman" w:hAnsi="Arial" w:cs="Arial"/>
                <w:color w:val="000000"/>
                <w:sz w:val="18"/>
                <w:szCs w:val="18"/>
                <w:lang w:val="en-US" w:eastAsia="pt-PT"/>
              </w:rPr>
              <w:fldChar w:fldCharType="end"/>
            </w:r>
          </w:p>
        </w:tc>
        <w:tc>
          <w:tcPr>
            <w:tcW w:w="709" w:type="dxa"/>
            <w:noWrap/>
            <w:hideMark/>
          </w:tcPr>
          <w:p w14:paraId="2638A70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12</w:t>
            </w:r>
          </w:p>
        </w:tc>
        <w:tc>
          <w:tcPr>
            <w:tcW w:w="709" w:type="dxa"/>
            <w:noWrap/>
            <w:hideMark/>
          </w:tcPr>
          <w:p w14:paraId="666BAF8C"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571" w:type="dxa"/>
            <w:noWrap/>
            <w:hideMark/>
          </w:tcPr>
          <w:p w14:paraId="4C3A7410" w14:textId="77777777" w:rsidR="003D1F45" w:rsidRPr="00101744" w:rsidRDefault="003D1F45" w:rsidP="00B60BB2">
            <w:pPr>
              <w:jc w:val="center"/>
              <w:rPr>
                <w:rFonts w:ascii="Arial" w:eastAsia="Times New Roman" w:hAnsi="Arial" w:cs="Arial"/>
                <w:sz w:val="18"/>
                <w:szCs w:val="18"/>
                <w:lang w:val="en-US" w:eastAsia="pt-PT"/>
              </w:rPr>
            </w:pPr>
          </w:p>
        </w:tc>
        <w:tc>
          <w:tcPr>
            <w:tcW w:w="704" w:type="dxa"/>
            <w:noWrap/>
            <w:hideMark/>
          </w:tcPr>
          <w:p w14:paraId="79835A5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w:t>
            </w:r>
          </w:p>
        </w:tc>
        <w:tc>
          <w:tcPr>
            <w:tcW w:w="843" w:type="dxa"/>
            <w:noWrap/>
            <w:hideMark/>
          </w:tcPr>
          <w:p w14:paraId="3F2E5F6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19-21</w:t>
            </w:r>
          </w:p>
        </w:tc>
        <w:tc>
          <w:tcPr>
            <w:tcW w:w="2268" w:type="dxa"/>
            <w:gridSpan w:val="2"/>
            <w:noWrap/>
            <w:hideMark/>
          </w:tcPr>
          <w:p w14:paraId="710DCBB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Number comparison</w:t>
            </w:r>
          </w:p>
        </w:tc>
        <w:tc>
          <w:tcPr>
            <w:tcW w:w="708" w:type="dxa"/>
            <w:gridSpan w:val="2"/>
            <w:noWrap/>
            <w:hideMark/>
          </w:tcPr>
          <w:p w14:paraId="394C8C7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12</w:t>
            </w:r>
          </w:p>
        </w:tc>
        <w:tc>
          <w:tcPr>
            <w:tcW w:w="1710" w:type="dxa"/>
            <w:gridSpan w:val="2"/>
          </w:tcPr>
          <w:p w14:paraId="48B55D3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1.5T GE</w:t>
            </w:r>
          </w:p>
        </w:tc>
        <w:tc>
          <w:tcPr>
            <w:tcW w:w="1064" w:type="dxa"/>
          </w:tcPr>
          <w:p w14:paraId="70C5D25B"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Brainvoyager</w:t>
            </w:r>
            <w:proofErr w:type="spellEnd"/>
            <w:r w:rsidRPr="00101744">
              <w:rPr>
                <w:rFonts w:ascii="Arial" w:eastAsia="Times New Roman" w:hAnsi="Arial" w:cs="Arial"/>
                <w:color w:val="000000"/>
                <w:sz w:val="18"/>
                <w:szCs w:val="18"/>
                <w:lang w:val="en-US"/>
              </w:rPr>
              <w:t xml:space="preserve"> QX 1.2.8</w:t>
            </w:r>
          </w:p>
        </w:tc>
        <w:tc>
          <w:tcPr>
            <w:tcW w:w="1377" w:type="dxa"/>
          </w:tcPr>
          <w:p w14:paraId="7023E2EB"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&lt;0.005</w:t>
            </w:r>
          </w:p>
        </w:tc>
        <w:tc>
          <w:tcPr>
            <w:tcW w:w="663" w:type="dxa"/>
          </w:tcPr>
          <w:p w14:paraId="2BC546E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2500</w:t>
            </w:r>
          </w:p>
        </w:tc>
        <w:tc>
          <w:tcPr>
            <w:tcW w:w="1148" w:type="dxa"/>
          </w:tcPr>
          <w:p w14:paraId="4A3F1883" w14:textId="77777777" w:rsidR="003D1F45" w:rsidRPr="00101744" w:rsidRDefault="003D1F45" w:rsidP="00B60BB2">
            <w:pPr>
              <w:jc w:val="center"/>
              <w:rPr>
                <w:rFonts w:ascii="Arial" w:eastAsia="Times New Roman" w:hAnsi="Arial" w:cs="Arial"/>
                <w:color w:val="000000"/>
                <w:sz w:val="18"/>
                <w:szCs w:val="18"/>
                <w:lang w:val="en-US" w:eastAsia="pt-PT"/>
              </w:rPr>
            </w:pPr>
          </w:p>
        </w:tc>
      </w:tr>
      <w:tr w:rsidR="003D1F45" w:rsidRPr="00101744" w14:paraId="6C8AA27E" w14:textId="77777777" w:rsidTr="00B60BB2">
        <w:trPr>
          <w:trHeight w:val="300"/>
        </w:trPr>
        <w:tc>
          <w:tcPr>
            <w:tcW w:w="2269" w:type="dxa"/>
            <w:noWrap/>
            <w:hideMark/>
          </w:tcPr>
          <w:p w14:paraId="12DD9892" w14:textId="13D88C2A"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{"citationItems":[{"id":"ITEM-1","itemData":{"DOI":"10.1016/j.brainres.2005.10.083","ISSN":"00068993","PMID":"16359648","abstract":"A number of functional neuroimaging studies have revealed that regions in and around the intraparietal sulcus (IPS) are parametrically modulated by numerical distance, whereby there is an inverse relationship between distance and levels of activation. These areas are thus thought to contain the internal representation of numerical magnitude. Nevertheless, it has also been suggested that the IPS is involved in response selection during number comparison tasks rather than the representation of numerical magnitude per se. In order to test the independence of the effect of distance on cortical regions, we employed a passive viewing paradigm. Sixteen right-handed male participants viewed rapidly changing slides containing arrays of squares. By varying the distance between the numerosity presented in separate blocks (8 vs. 8, 8 vs. 12, and 8 vs. 16), we examined which regions exhibit a parametric effect of numerical distance. This analysis revealed such effects in the superior part of the IPS bilaterally as well as the superior parietal lobule and the supramarginal gyrus. In contrast, slides rapidly changing in area but not number (Area constant, Area x 1, and Area x 2) did not yield a parametric effect of distance in these regions. Instead, a reverse effect of area was found in a region of the calcarine sulcus. These findings suggest that areas in and around the IPS are involved in numerical magnitude discrimination in the absence of an explicit task and response requirements.","author":[{"dropping-particle":"","family":"Ansari","given":"Daniel","non-dropping-particle":"","parse-names":false,"suffix":""},{"dropping-particle":"","family":"Dhital","given":"Bibek","non-dropping-particle":"","parse-names":false,"suffix":""},{"dropping-particle":"","family":"Siong","given":"Soon Chun","non-dropping-particle":"","parse-names":false,"suffix":""}],"container-title":"Brain Research","id":"ITEM-1","issue":"1","issued":{"date-parts":[["2006","1","5"]]},"page":"181-188","title":"Parametric effects of numerical distance on the intraparietal sulcus during passive viewing of rapid numerosity changes","type":"article-journal","volume":"1067"},"uris":["http://www.mendeley.com/documents/?uuid=8bb26360-4aea-3c81-bab4-b00d764a0e26"]}],"mendeley":{"formattedCitation":"(Ansari, Dhital, and Siong 2006)","plainTextFormattedCitation":"(Ansari, Dhital, and Siong 2006)","previouslyFormattedCitation":"&lt;sup&gt;125&lt;/sup&gt;"},"properties":{"noteIndex":0},"schema":"https://github.com/citation-style-language/schema/raw/master/csl-citation.json"}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(Ansari, Dhital, and Siong 2006)</w:t>
            </w:r>
            <w:r w:rsidRPr="00101744">
              <w:rPr>
                <w:rFonts w:ascii="Arial" w:eastAsia="Times New Roman" w:hAnsi="Arial" w:cs="Arial"/>
                <w:color w:val="000000"/>
                <w:sz w:val="18"/>
                <w:szCs w:val="18"/>
                <w:lang w:val="en-US" w:eastAsia="pt-PT"/>
              </w:rPr>
              <w:fldChar w:fldCharType="end"/>
            </w:r>
          </w:p>
        </w:tc>
        <w:tc>
          <w:tcPr>
            <w:tcW w:w="709" w:type="dxa"/>
            <w:noWrap/>
            <w:hideMark/>
          </w:tcPr>
          <w:p w14:paraId="5A32E69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16</w:t>
            </w:r>
          </w:p>
        </w:tc>
        <w:tc>
          <w:tcPr>
            <w:tcW w:w="709" w:type="dxa"/>
            <w:noWrap/>
            <w:hideMark/>
          </w:tcPr>
          <w:p w14:paraId="6DC5089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16</w:t>
            </w:r>
          </w:p>
        </w:tc>
        <w:tc>
          <w:tcPr>
            <w:tcW w:w="571" w:type="dxa"/>
            <w:noWrap/>
            <w:hideMark/>
          </w:tcPr>
          <w:p w14:paraId="3AE8867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0</w:t>
            </w:r>
          </w:p>
        </w:tc>
        <w:tc>
          <w:tcPr>
            <w:tcW w:w="704" w:type="dxa"/>
            <w:noWrap/>
            <w:hideMark/>
          </w:tcPr>
          <w:p w14:paraId="057B60D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w:t>
            </w:r>
          </w:p>
        </w:tc>
        <w:tc>
          <w:tcPr>
            <w:tcW w:w="843" w:type="dxa"/>
            <w:noWrap/>
            <w:hideMark/>
          </w:tcPr>
          <w:p w14:paraId="693E06BE"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0B95988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Magnitude comparison</w:t>
            </w:r>
          </w:p>
        </w:tc>
        <w:tc>
          <w:tcPr>
            <w:tcW w:w="708" w:type="dxa"/>
            <w:gridSpan w:val="2"/>
            <w:noWrap/>
            <w:hideMark/>
          </w:tcPr>
          <w:p w14:paraId="0509C71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1710" w:type="dxa"/>
            <w:gridSpan w:val="2"/>
          </w:tcPr>
          <w:p w14:paraId="632798D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1.5T GE</w:t>
            </w:r>
          </w:p>
        </w:tc>
        <w:tc>
          <w:tcPr>
            <w:tcW w:w="1064" w:type="dxa"/>
          </w:tcPr>
          <w:p w14:paraId="011F67FF"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Brainvoyager</w:t>
            </w:r>
            <w:proofErr w:type="spellEnd"/>
            <w:r w:rsidRPr="00101744">
              <w:rPr>
                <w:rFonts w:ascii="Arial" w:eastAsia="Times New Roman" w:hAnsi="Arial" w:cs="Arial"/>
                <w:color w:val="000000"/>
                <w:sz w:val="18"/>
                <w:szCs w:val="18"/>
                <w:lang w:val="en-US"/>
              </w:rPr>
              <w:t xml:space="preserve"> QX 1.2.6</w:t>
            </w:r>
          </w:p>
        </w:tc>
        <w:tc>
          <w:tcPr>
            <w:tcW w:w="1377" w:type="dxa"/>
          </w:tcPr>
          <w:p w14:paraId="2CE546BA"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&lt;0.0001</w:t>
            </w:r>
          </w:p>
        </w:tc>
        <w:tc>
          <w:tcPr>
            <w:tcW w:w="663" w:type="dxa"/>
          </w:tcPr>
          <w:p w14:paraId="72D7240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2500</w:t>
            </w:r>
          </w:p>
        </w:tc>
        <w:tc>
          <w:tcPr>
            <w:tcW w:w="1148" w:type="dxa"/>
          </w:tcPr>
          <w:p w14:paraId="428E6A2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4.5</w:t>
            </w:r>
          </w:p>
        </w:tc>
      </w:tr>
      <w:tr w:rsidR="003D1F45" w:rsidRPr="00101744" w14:paraId="175363E5" w14:textId="77777777" w:rsidTr="00B60BB2">
        <w:trPr>
          <w:trHeight w:val="300"/>
        </w:trPr>
        <w:tc>
          <w:tcPr>
            <w:tcW w:w="2269" w:type="dxa"/>
            <w:noWrap/>
            <w:hideMark/>
          </w:tcPr>
          <w:p w14:paraId="1D88BD8D" w14:textId="6570D084"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{"citationItems":[{"id":"ITEM-1","itemData":{"DOI":"10.1162/jocn.2006.18.11.1820","ISSN":"0898-929X","PMID":"17069473","abstract":"Numerical magnitude processing is an essential everyday skill. Functional brain imaging studies with human adults have repeatedly revealed that bilateral regions of the intraparietal sulcus are correlated with various numerical and mathematical skills. Surprisingly little, however, is known about the development of these brain representations. In the present study, we used functional neuroimaging to compare the neural correlates of nonsymbolic magnitude judgments between children and adults. Although behavioral performance was similar across groups, in comparison to the group of children the adult participants exhibited greater effects of numerical distance on the left intraparietal sulcus. Our findings are the first to reveal that even the most basic aspects of numerical cognition are subject to age-related changes in functional neuroanatomy. We propose that developmental impairments of number may be associated with atypical specialization of cortical regions underlying magnitude processing.","author":[{"dropping-particle":"","family":"Ansari","given":"Daniel","non-dropping-particle":"","parse-names":false,"suffix":""},{"dropping-particle":"","family":"Dhital","given":"Bibek","non-dropping-particle":"","parse-names":false,"suffix":""}],"container-title":"Journal of Cognitive Neuroscience","id":"ITEM-1","issue":"11","issued":{"date-parts":[["2006","11"]]},"page":"1820-1828","title":"Age-related Changes in the Activation of the Intraparietal Sulcus during Nonsymbolic Magnitude Processing: An Event-related Functional Magnetic Resonance Imaging Study","type":"article-journal","volume":"18"},"uris":["http://www.mendeley.com/documents/?uuid=203ad7de-eef0-3bc9-b862-a5202a92de98"]}],"mendeley":{"formattedCitation":"(Ansari and Dhital 2006)","plainTextFormattedCitation":"(Ansari and Dhital 2006)","previouslyFormattedCitation":"&lt;sup&gt;126&lt;/sup&gt;"},"properties":{"noteIndex":0},"schema":"https://github.com/citation-style-language/schema/raw/master/csl-citation.json"}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(Ansari and Dhital 2006)</w:t>
            </w:r>
            <w:r w:rsidRPr="00101744">
              <w:rPr>
                <w:rFonts w:ascii="Arial" w:eastAsia="Times New Roman" w:hAnsi="Arial" w:cs="Arial"/>
                <w:color w:val="000000"/>
                <w:sz w:val="18"/>
                <w:szCs w:val="18"/>
                <w:lang w:val="en-US" w:eastAsia="pt-PT"/>
              </w:rPr>
              <w:fldChar w:fldCharType="end"/>
            </w:r>
          </w:p>
        </w:tc>
        <w:tc>
          <w:tcPr>
            <w:tcW w:w="709" w:type="dxa"/>
            <w:noWrap/>
            <w:hideMark/>
          </w:tcPr>
          <w:p w14:paraId="21DC94C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9</w:t>
            </w:r>
          </w:p>
        </w:tc>
        <w:tc>
          <w:tcPr>
            <w:tcW w:w="709" w:type="dxa"/>
            <w:noWrap/>
            <w:hideMark/>
          </w:tcPr>
          <w:p w14:paraId="264465D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571" w:type="dxa"/>
            <w:noWrap/>
            <w:hideMark/>
          </w:tcPr>
          <w:p w14:paraId="2904CBB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c>
          <w:tcPr>
            <w:tcW w:w="704" w:type="dxa"/>
            <w:noWrap/>
            <w:hideMark/>
          </w:tcPr>
          <w:p w14:paraId="3809068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w:t>
            </w:r>
          </w:p>
        </w:tc>
        <w:tc>
          <w:tcPr>
            <w:tcW w:w="843" w:type="dxa"/>
            <w:noWrap/>
            <w:hideMark/>
          </w:tcPr>
          <w:p w14:paraId="4D4D107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19-21</w:t>
            </w:r>
          </w:p>
        </w:tc>
        <w:tc>
          <w:tcPr>
            <w:tcW w:w="2268" w:type="dxa"/>
            <w:gridSpan w:val="2"/>
            <w:noWrap/>
            <w:hideMark/>
          </w:tcPr>
          <w:p w14:paraId="207E46E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Magnitude comparison</w:t>
            </w:r>
          </w:p>
        </w:tc>
        <w:tc>
          <w:tcPr>
            <w:tcW w:w="708" w:type="dxa"/>
            <w:gridSpan w:val="2"/>
            <w:noWrap/>
            <w:hideMark/>
          </w:tcPr>
          <w:p w14:paraId="2772EE4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1710" w:type="dxa"/>
            <w:gridSpan w:val="2"/>
          </w:tcPr>
          <w:p w14:paraId="7F2CC66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1.5T GE</w:t>
            </w:r>
          </w:p>
        </w:tc>
        <w:tc>
          <w:tcPr>
            <w:tcW w:w="1064" w:type="dxa"/>
          </w:tcPr>
          <w:p w14:paraId="73C453BA"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Brainvoyager</w:t>
            </w:r>
            <w:proofErr w:type="spellEnd"/>
            <w:r w:rsidRPr="00101744">
              <w:rPr>
                <w:rFonts w:ascii="Arial" w:eastAsia="Times New Roman" w:hAnsi="Arial" w:cs="Arial"/>
                <w:color w:val="000000"/>
                <w:sz w:val="18"/>
                <w:szCs w:val="18"/>
                <w:lang w:val="en-US"/>
              </w:rPr>
              <w:t xml:space="preserve"> QX 1.2.8</w:t>
            </w:r>
          </w:p>
        </w:tc>
        <w:tc>
          <w:tcPr>
            <w:tcW w:w="1377" w:type="dxa"/>
          </w:tcPr>
          <w:p w14:paraId="4DCCFF94"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&lt;0.001</w:t>
            </w:r>
          </w:p>
        </w:tc>
        <w:tc>
          <w:tcPr>
            <w:tcW w:w="663" w:type="dxa"/>
          </w:tcPr>
          <w:p w14:paraId="4C75B81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2500</w:t>
            </w:r>
          </w:p>
        </w:tc>
        <w:tc>
          <w:tcPr>
            <w:tcW w:w="1148" w:type="dxa"/>
          </w:tcPr>
          <w:p w14:paraId="5B2436B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4.5</w:t>
            </w:r>
          </w:p>
        </w:tc>
      </w:tr>
      <w:tr w:rsidR="003D1F45" w:rsidRPr="00101744" w14:paraId="297BDE7A" w14:textId="77777777" w:rsidTr="00B60BB2">
        <w:trPr>
          <w:trHeight w:val="300"/>
        </w:trPr>
        <w:tc>
          <w:tcPr>
            <w:tcW w:w="2269" w:type="dxa"/>
            <w:noWrap/>
            <w:hideMark/>
          </w:tcPr>
          <w:p w14:paraId="752C0D1F" w14:textId="5C39A157"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{"citationItems":[{"id":"ITEM-1","itemData":{"DOI":"10.1162/jocn.2007.19.11.1845","ISSN":"0898-929X","PMID":"17958487","abstract":"There exists a long-standing debate regarding whether small and large numerosities engage different networks of processing. The ability to rapidly enumerate small (1-4) numerosities is referred to as \"subitizing\" and is thought to be qualitatively different from large numerosity processing. Functional neuro-imaging studies have attempted to dissociate neural correlates of small and large number processing by contrasting subitizing with counting of numerosities just outside the subitizing range. In the present study, we used functional magnetic resonance imaging (fMRI) to contrast the processing of numerosities in the \"subitizing range\" with numerosities requiring estimation. Participants compared sequentially presented slides of either dots or Arabic numerals for their relative magnitude. We show that comparison of nonsymbolic numerosities in the subitizing range led to activation of the right temporo-parietal junction, while at the same time this region was found to be suppressed during large numerosity processing. Furthermore, relative suppression of this region was strongly associated with faster response times. In previous studies, this region has been implicated in stimulus-driven attention. We therefore contend that activation of the temporo-parietal junction during small number processing and the suppression thereof during large numerosity comparisons reflects differential reliance on stimulus-driven versus goal-directed attentional networks in the brain.","author":[{"dropping-particle":"","family":"Ansari","given":"Daniel","non-dropping-particle":"","parse-names":false,"suffix":""},{"dropping-particle":"","family":"Lyons","given":"Ian M.","non-dropping-particle":"","parse-names":false,"suffix":""},{"dropping-particle":"","family":"Eimeren","given":"Lucia","non-dropping-particle":"van","parse-names":false,"suffix":""},{"dropping-particle":"","family":"Xu","given":"Fei","non-dropping-particle":"","parse-names":false,"suffix":""}],"container-title":"Journal of Cognitive Neuroscience","id":"ITEM-1","issue":"11","issued":{"date-parts":[["2007","11"]]},"page":"1845-1853","title":"Linking Visual Attention and Number Processing in the Brain: The Role of the Temporo-parietal Junction in Small and Large Symbolic and Nonsymbolic Number Comparison","type":"article-journal","volume":"19"},"uris":["http://www.mendeley.com/documents/?uuid=9476eea8-978d-369b-9080-3d3f0cc2f4e4"]}],"mendeley":{"formattedCitation":"(Ansari et al. 2007)","plainTextFormattedCitation":"(Ansari et al. 2007)","previouslyFormattedCitation":"&lt;sup&gt;127&lt;/sup&gt;"},"properties":{"noteIndex":0},"schema":"https://github.com/citation-style-language/schema/raw/master/csl-citation.json"}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(Ansari et al. 2007)</w:t>
            </w:r>
            <w:r w:rsidRPr="00101744">
              <w:rPr>
                <w:rFonts w:ascii="Arial" w:eastAsia="Times New Roman" w:hAnsi="Arial" w:cs="Arial"/>
                <w:color w:val="000000"/>
                <w:sz w:val="18"/>
                <w:szCs w:val="18"/>
                <w:lang w:val="en-US" w:eastAsia="pt-PT"/>
              </w:rPr>
              <w:fldChar w:fldCharType="end"/>
            </w:r>
          </w:p>
        </w:tc>
        <w:tc>
          <w:tcPr>
            <w:tcW w:w="709" w:type="dxa"/>
            <w:noWrap/>
            <w:hideMark/>
          </w:tcPr>
          <w:p w14:paraId="360062A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13</w:t>
            </w:r>
          </w:p>
        </w:tc>
        <w:tc>
          <w:tcPr>
            <w:tcW w:w="709" w:type="dxa"/>
            <w:noWrap/>
            <w:hideMark/>
          </w:tcPr>
          <w:p w14:paraId="47D5C5BC"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571" w:type="dxa"/>
            <w:noWrap/>
            <w:hideMark/>
          </w:tcPr>
          <w:p w14:paraId="6F0F9D0D" w14:textId="77777777" w:rsidR="003D1F45" w:rsidRPr="00101744" w:rsidRDefault="003D1F45" w:rsidP="00B60BB2">
            <w:pPr>
              <w:jc w:val="center"/>
              <w:rPr>
                <w:rFonts w:ascii="Arial" w:eastAsia="Times New Roman" w:hAnsi="Arial" w:cs="Arial"/>
                <w:sz w:val="18"/>
                <w:szCs w:val="18"/>
                <w:lang w:val="en-US" w:eastAsia="pt-PT"/>
              </w:rPr>
            </w:pPr>
          </w:p>
        </w:tc>
        <w:tc>
          <w:tcPr>
            <w:tcW w:w="704" w:type="dxa"/>
            <w:noWrap/>
            <w:hideMark/>
          </w:tcPr>
          <w:p w14:paraId="4509012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21</w:t>
            </w:r>
          </w:p>
        </w:tc>
        <w:tc>
          <w:tcPr>
            <w:tcW w:w="843" w:type="dxa"/>
            <w:noWrap/>
            <w:hideMark/>
          </w:tcPr>
          <w:p w14:paraId="057EBBC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19-27</w:t>
            </w:r>
          </w:p>
        </w:tc>
        <w:tc>
          <w:tcPr>
            <w:tcW w:w="2268" w:type="dxa"/>
            <w:gridSpan w:val="2"/>
            <w:noWrap/>
            <w:hideMark/>
          </w:tcPr>
          <w:p w14:paraId="69F7272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Estimation and counting, Magnitude comparison</w:t>
            </w:r>
          </w:p>
        </w:tc>
        <w:tc>
          <w:tcPr>
            <w:tcW w:w="708" w:type="dxa"/>
            <w:gridSpan w:val="2"/>
            <w:noWrap/>
            <w:hideMark/>
          </w:tcPr>
          <w:p w14:paraId="49A6A75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14</w:t>
            </w:r>
          </w:p>
        </w:tc>
        <w:tc>
          <w:tcPr>
            <w:tcW w:w="1710" w:type="dxa"/>
            <w:gridSpan w:val="2"/>
          </w:tcPr>
          <w:p w14:paraId="196D8A3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3T </w:t>
            </w:r>
            <w:proofErr w:type="spellStart"/>
            <w:r w:rsidRPr="00101744">
              <w:rPr>
                <w:rFonts w:ascii="Arial" w:eastAsia="Times New Roman" w:hAnsi="Arial" w:cs="Arial"/>
                <w:color w:val="000000"/>
                <w:sz w:val="18"/>
                <w:szCs w:val="18"/>
                <w:lang w:val="en-US"/>
              </w:rPr>
              <w:t>Intera</w:t>
            </w:r>
            <w:proofErr w:type="spellEnd"/>
            <w:r w:rsidRPr="00101744">
              <w:rPr>
                <w:rFonts w:ascii="Arial" w:eastAsia="Times New Roman" w:hAnsi="Arial" w:cs="Arial"/>
                <w:color w:val="000000"/>
                <w:sz w:val="18"/>
                <w:szCs w:val="18"/>
                <w:lang w:val="en-US"/>
              </w:rPr>
              <w:t xml:space="preserve"> Philips</w:t>
            </w:r>
          </w:p>
        </w:tc>
        <w:tc>
          <w:tcPr>
            <w:tcW w:w="1064" w:type="dxa"/>
          </w:tcPr>
          <w:p w14:paraId="1A5C5E3D"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Brainvoyager</w:t>
            </w:r>
            <w:proofErr w:type="spellEnd"/>
            <w:r w:rsidRPr="00101744">
              <w:rPr>
                <w:rFonts w:ascii="Arial" w:eastAsia="Times New Roman" w:hAnsi="Arial" w:cs="Arial"/>
                <w:color w:val="000000"/>
                <w:sz w:val="18"/>
                <w:szCs w:val="18"/>
                <w:lang w:val="en-US"/>
              </w:rPr>
              <w:t xml:space="preserve"> QX 1.7</w:t>
            </w:r>
          </w:p>
        </w:tc>
        <w:tc>
          <w:tcPr>
            <w:tcW w:w="1377" w:type="dxa"/>
          </w:tcPr>
          <w:p w14:paraId="6498001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P(FDR)&lt;0.05</w:t>
            </w:r>
          </w:p>
        </w:tc>
        <w:tc>
          <w:tcPr>
            <w:tcW w:w="663" w:type="dxa"/>
          </w:tcPr>
          <w:p w14:paraId="3649039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2500</w:t>
            </w:r>
          </w:p>
        </w:tc>
        <w:tc>
          <w:tcPr>
            <w:tcW w:w="1148" w:type="dxa"/>
          </w:tcPr>
          <w:p w14:paraId="2A1CAF3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w:t>
            </w:r>
          </w:p>
        </w:tc>
      </w:tr>
      <w:tr w:rsidR="003D1F45" w:rsidRPr="00101744" w14:paraId="4DA2BFBB" w14:textId="77777777" w:rsidTr="00B60BB2">
        <w:trPr>
          <w:trHeight w:val="300"/>
        </w:trPr>
        <w:tc>
          <w:tcPr>
            <w:tcW w:w="2269" w:type="dxa"/>
            <w:noWrap/>
            <w:hideMark/>
          </w:tcPr>
          <w:p w14:paraId="1012B8F4" w14:textId="0CA52600"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lastRenderedPageBreak/>
              <w:fldChar w:fldCharType="begin" w:fldLock="1"/>
            </w:r>
            <w:r w:rsidR="00C14016">
              <w:rPr>
                <w:rFonts w:ascii="Arial" w:hAnsi="Arial" w:cs="Arial"/>
                <w:color w:val="000000"/>
                <w:sz w:val="18"/>
                <w:szCs w:val="18"/>
                <w:lang w:eastAsia="pt-PT"/>
              </w:rPr>
              <w:instrText>ADDIN CSL_CITATION {"citationItems":[{"id":"ITEM-1","itemData":{"DOI":"10.1016/j.neuropsychologia.2013.02.001","ISSN":"00283932","PMID":"23416146","abstract":"How are numerical and non-numerical magnitudes processed in the brain? Brain imaging research, primarily using comparison paradigms (i.e. judging which of two magnitudes is larger), has provided strong evidence demonstrating that the intraparietal sulcus (IPS) is a key region for processing both numerical (e.g. Arabic numerals, arrays of dots) and non-numerical magnitudes (e.g. height, brightness). These studies have suggested that there is both activation overlap and segregation in the brain regions involved in processing different dimensions of magnitude. In the present functional Magnetic Resonance Imaging (fMRI) study, we extended this line of investigation by probing the brain mechanisms underlying the mapping of numerical (Arabic numerals) and non-numerical magnitudes (brightness levels) onto a number line. Consistent with previous studies the present results revealed that number and brightness estimation was associated with overlapping activation within right lateralized areas of the posterior IPS. In addition, the contrast between number and brightness estimation revealed that bilateral anterior regions of the IPS are specifically involved in the process of estimating the position of symbolic numbers onto a number line. Furthermore, we found a significant influence of landmark reference points (0, 50 and 100) on brain activation in the right IPS for number estimation only. No regions were found to be specifically associated with brightness estimation. The results of this study reveal that the estimation of both numerical and non-numerical</w:instrText>
            </w:r>
            <w:r w:rsidR="00C14016" w:rsidRPr="00C14016">
              <w:rPr>
                <w:rFonts w:ascii="Arial" w:hAnsi="Arial" w:cs="Arial"/>
                <w:color w:val="000000"/>
                <w:sz w:val="18"/>
                <w:szCs w:val="18"/>
                <w:lang w:val="en-GB" w:eastAsia="pt-PT"/>
              </w:rPr>
              <w:instrText xml:space="preserve"> magnitude are associated with the engagement of a right lateralized magnitude system, but that symbolic number estimation is associated with additional engagement of bilateral regions of the anterior IPS.","author":[{"dropping-particle":"","family":"Vogel","given":"Stephan E.","non-dropping-particle":"","parse-names":false,"suffix":""},{"dropping-particle":"","family":"Grabner","given":"Roland H.","non-dropping-particle":"","parse-names":false,"suffix":""},{"dropping-particle":"","family":"Schneider","given":"Michael","non-dropping-particle":"","parse-names":false,"suffix":""},{"dropping-particle":"","family":"Siegler","given":"Robert S.","non-dropping-particle":"","parse-names":false,"suffix":""},{"dropping-particle":"","family":"Ansari","given":"Daniel","non-dropping-particle":"","parse-names":false,"suffix":""}],"container-title":"Neuropsychologia","id":"ITEM-1","issue":"5","issued":{"date-parts":[["2013","4"]]},"page":"979-989","title":"Overlapping and distinct brain regions involved in estimating the spatial position of numerical and non-numerical magnitudes: An fMRI study","type":"article-journal","volume":"51"},"uris":["http://www.mendeley.com/documents/?uuid=4ef59340-a055-374a-983c-aeee0e5513a1"]}],"mendeley":{"formattedCitation":"(Vogel et al. 2013)","plainTextFormattedCitation":"(Vogel et al. 2013)","previouslyFormattedCitation":"&lt;sup&gt;128&lt;/sup&gt;"},"properties":{"noteIndex":0},"schema":"https://github.com/citation-style-language/schema/raw/master/csl-citation.json"}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(Vogel et al. 2013)</w:t>
            </w:r>
            <w:r w:rsidRPr="00101744">
              <w:rPr>
                <w:rFonts w:ascii="Arial" w:eastAsia="Times New Roman" w:hAnsi="Arial" w:cs="Arial"/>
                <w:color w:val="000000"/>
                <w:sz w:val="18"/>
                <w:szCs w:val="18"/>
                <w:lang w:val="en-US" w:eastAsia="pt-PT"/>
              </w:rPr>
              <w:fldChar w:fldCharType="end"/>
            </w:r>
          </w:p>
        </w:tc>
        <w:tc>
          <w:tcPr>
            <w:tcW w:w="709" w:type="dxa"/>
            <w:noWrap/>
            <w:hideMark/>
          </w:tcPr>
          <w:p w14:paraId="394E18D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14</w:t>
            </w:r>
          </w:p>
        </w:tc>
        <w:tc>
          <w:tcPr>
            <w:tcW w:w="709" w:type="dxa"/>
            <w:noWrap/>
            <w:hideMark/>
          </w:tcPr>
          <w:p w14:paraId="041B024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571" w:type="dxa"/>
            <w:noWrap/>
            <w:hideMark/>
          </w:tcPr>
          <w:p w14:paraId="1B32933E" w14:textId="77777777" w:rsidR="003D1F45" w:rsidRPr="00101744" w:rsidRDefault="003D1F45" w:rsidP="00B60BB2">
            <w:pPr>
              <w:jc w:val="center"/>
              <w:rPr>
                <w:rFonts w:ascii="Arial" w:eastAsia="Times New Roman" w:hAnsi="Arial" w:cs="Arial"/>
                <w:sz w:val="18"/>
                <w:szCs w:val="18"/>
                <w:lang w:val="en-US" w:eastAsia="pt-PT"/>
              </w:rPr>
            </w:pPr>
            <w:r w:rsidRPr="00101744">
              <w:rPr>
                <w:rFonts w:ascii="Arial" w:eastAsia="Times New Roman" w:hAnsi="Arial" w:cs="Arial"/>
                <w:color w:val="000000"/>
                <w:sz w:val="18"/>
                <w:szCs w:val="18"/>
                <w:lang w:val="en-US"/>
              </w:rPr>
              <w:t>7</w:t>
            </w:r>
          </w:p>
        </w:tc>
        <w:tc>
          <w:tcPr>
            <w:tcW w:w="704" w:type="dxa"/>
            <w:noWrap/>
            <w:hideMark/>
          </w:tcPr>
          <w:p w14:paraId="7E476F4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w:t>
            </w:r>
          </w:p>
        </w:tc>
        <w:tc>
          <w:tcPr>
            <w:tcW w:w="843" w:type="dxa"/>
            <w:noWrap/>
            <w:hideMark/>
          </w:tcPr>
          <w:p w14:paraId="158450F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18-33</w:t>
            </w:r>
          </w:p>
        </w:tc>
        <w:tc>
          <w:tcPr>
            <w:tcW w:w="2268" w:type="dxa"/>
            <w:gridSpan w:val="2"/>
            <w:noWrap/>
            <w:hideMark/>
          </w:tcPr>
          <w:p w14:paraId="102284F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Arithmetic operations</w:t>
            </w:r>
          </w:p>
        </w:tc>
        <w:tc>
          <w:tcPr>
            <w:tcW w:w="708" w:type="dxa"/>
            <w:gridSpan w:val="2"/>
            <w:noWrap/>
            <w:hideMark/>
          </w:tcPr>
          <w:p w14:paraId="1754004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w:t>
            </w:r>
          </w:p>
        </w:tc>
        <w:tc>
          <w:tcPr>
            <w:tcW w:w="1710" w:type="dxa"/>
            <w:gridSpan w:val="2"/>
          </w:tcPr>
          <w:p w14:paraId="0C9A6F2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GE</w:t>
            </w:r>
          </w:p>
        </w:tc>
        <w:tc>
          <w:tcPr>
            <w:tcW w:w="1064" w:type="dxa"/>
          </w:tcPr>
          <w:p w14:paraId="1BA69464"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Brainvoyager</w:t>
            </w:r>
            <w:proofErr w:type="spellEnd"/>
            <w:r w:rsidRPr="00101744">
              <w:rPr>
                <w:rFonts w:ascii="Arial" w:eastAsia="Times New Roman" w:hAnsi="Arial" w:cs="Arial"/>
                <w:color w:val="000000"/>
                <w:sz w:val="18"/>
                <w:szCs w:val="18"/>
                <w:lang w:val="en-US"/>
              </w:rPr>
              <w:t xml:space="preserve"> QX 2.3</w:t>
            </w:r>
          </w:p>
        </w:tc>
        <w:tc>
          <w:tcPr>
            <w:tcW w:w="1377" w:type="dxa"/>
          </w:tcPr>
          <w:p w14:paraId="609791C6"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&lt;0.001</w:t>
            </w:r>
          </w:p>
        </w:tc>
        <w:tc>
          <w:tcPr>
            <w:tcW w:w="663" w:type="dxa"/>
          </w:tcPr>
          <w:p w14:paraId="31C043C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2100</w:t>
            </w:r>
          </w:p>
        </w:tc>
        <w:tc>
          <w:tcPr>
            <w:tcW w:w="1148" w:type="dxa"/>
          </w:tcPr>
          <w:p w14:paraId="37F503E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3.4</w:t>
            </w:r>
          </w:p>
        </w:tc>
      </w:tr>
      <w:tr w:rsidR="003D1F45" w:rsidRPr="00101744" w14:paraId="6E693236" w14:textId="77777777" w:rsidTr="00B60BB2">
        <w:trPr>
          <w:trHeight w:val="300"/>
        </w:trPr>
        <w:tc>
          <w:tcPr>
            <w:tcW w:w="2269" w:type="dxa"/>
            <w:noWrap/>
            <w:hideMark/>
          </w:tcPr>
          <w:p w14:paraId="77A23F79" w14:textId="5F6E87E7"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{"citationItems":[{"id":"ITEM-1","itemData":{"DOI":"10.1162/jocn_a_00887","ISSN":"0898-929X","PMID":"26439268","abstract":"It is well established that, when comparing nonsymbolic magnitudes (e.g., dot arrays), adults can use both numerical (i.e., the number of items) and nonnumerical (density, total surface areas, etc.) magnitudes. It is less clear which of these magnitudes is more salient or processed more automatically. In this fMRI study, we used a nonsymbolic comparison task to ask if different brain areas are responsible for the automatic processing of numerical and nonnumerical magnitudes, when participants were instructed to attend to either the numerical or the nonnumerical magnitudes of the same stimuli. An interaction of task (numerical vs. nonnumerical) and congruity (congruent vs. incongruent) was found in the right TPJ. Specifically, this brain region was more strongly activated during numerical processing when the nonnumerical magnitudes were negatively correlated with numerosity (incongruent trials). In contrast, such an interference effect was not evident during nonnumerical processing when the task-irrelevant numerical magnitude was incongruent. In view of the role of the right TPJ in the control of stimulus-driven attention, we argue that these data demonstrate that the processing of nonnumerical magnitudes is more automatic than t</w:instrText>
            </w:r>
            <w:r w:rsidR="00C14016">
              <w:rPr>
                <w:rFonts w:ascii="Arial" w:hAnsi="Arial" w:cs="Arial"/>
                <w:color w:val="000000"/>
                <w:sz w:val="18"/>
                <w:szCs w:val="18"/>
                <w:lang w:eastAsia="pt-PT"/>
              </w:rPr>
              <w:instrText>hat of numerical magnitudes and that, therefore, the influence of numerical and nonnumerical variables on each other is asymmetrical.","author":[{"dropping-particle":"","family":"Leibovich","given":"Tali","non-dropping-particle":"","parse-names":false,"suffix":""},{"dropping-particle":"","family":"Vogel","given":"Stephan E.","non-dropping-particle":"","parse-names":false,"suffix":""},{"dropping-particle":"","family":"Henik","given":"Avishai","non-dropping-particle":"","parse-names":false,"suffix":""},{"dropping-particle":"","family":"Ansari","given":"Daniel","non-dropping-particle":"","parse-names":false,"suffix":""}],"container-title":"Journal of Cognitive Neuroscience","id":"ITEM-1","issue":"1","issued":{"date-parts":[["2016","1"]]},"page":"166-176","title":"Asymmetric Processing of Numerical and Nonnumerical Magnitudes in the Brain: An fMRI Study","type":"article-journal","volume":"28"},"uris":["http://www.mendeley.com/documents/?uuid=4efde1f8-11e0-3063-8d83-34b05a3e473b"]}],"mendeley":{"formattedCitation":"(Leibovich et al. 2016)","plainTextFormattedCitation":"(Leibovich et al. 2016)","previouslyFormattedCitation":"&lt;sup&gt;129&lt;/sup&gt;"},"properties":{"noteIndex":0},"schema":"https://github.com/citation-style-language/schema/raw/master/csl-citation.json"}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(Leibovich et al. 2016)</w:t>
            </w:r>
            <w:r w:rsidRPr="00101744">
              <w:rPr>
                <w:rFonts w:ascii="Arial" w:eastAsia="Times New Roman" w:hAnsi="Arial" w:cs="Arial"/>
                <w:color w:val="000000"/>
                <w:sz w:val="18"/>
                <w:szCs w:val="18"/>
                <w:lang w:val="en-US" w:eastAsia="pt-PT"/>
              </w:rPr>
              <w:fldChar w:fldCharType="end"/>
            </w:r>
          </w:p>
        </w:tc>
        <w:tc>
          <w:tcPr>
            <w:tcW w:w="709" w:type="dxa"/>
            <w:noWrap/>
            <w:hideMark/>
          </w:tcPr>
          <w:p w14:paraId="2669FD4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w:t>
            </w:r>
          </w:p>
        </w:tc>
        <w:tc>
          <w:tcPr>
            <w:tcW w:w="709" w:type="dxa"/>
            <w:noWrap/>
            <w:hideMark/>
          </w:tcPr>
          <w:p w14:paraId="4B26F54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7</w:t>
            </w:r>
          </w:p>
        </w:tc>
        <w:tc>
          <w:tcPr>
            <w:tcW w:w="571" w:type="dxa"/>
            <w:noWrap/>
            <w:hideMark/>
          </w:tcPr>
          <w:p w14:paraId="309D304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12</w:t>
            </w:r>
          </w:p>
        </w:tc>
        <w:tc>
          <w:tcPr>
            <w:tcW w:w="704" w:type="dxa"/>
            <w:noWrap/>
            <w:hideMark/>
          </w:tcPr>
          <w:p w14:paraId="19524BE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23</w:t>
            </w:r>
          </w:p>
        </w:tc>
        <w:tc>
          <w:tcPr>
            <w:tcW w:w="843" w:type="dxa"/>
            <w:noWrap/>
            <w:hideMark/>
          </w:tcPr>
          <w:p w14:paraId="05364ED6"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0F7B158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Magnitude comparison</w:t>
            </w:r>
          </w:p>
        </w:tc>
        <w:tc>
          <w:tcPr>
            <w:tcW w:w="708" w:type="dxa"/>
            <w:gridSpan w:val="2"/>
            <w:noWrap/>
            <w:hideMark/>
          </w:tcPr>
          <w:p w14:paraId="7FF58ED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12</w:t>
            </w:r>
          </w:p>
        </w:tc>
        <w:tc>
          <w:tcPr>
            <w:tcW w:w="1710" w:type="dxa"/>
            <w:gridSpan w:val="2"/>
          </w:tcPr>
          <w:p w14:paraId="0A75D42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Tim Trio Siemens</w:t>
            </w:r>
          </w:p>
        </w:tc>
        <w:tc>
          <w:tcPr>
            <w:tcW w:w="1064" w:type="dxa"/>
          </w:tcPr>
          <w:p w14:paraId="6558B45B"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Brainvoyager</w:t>
            </w:r>
            <w:proofErr w:type="spellEnd"/>
            <w:r w:rsidRPr="00101744">
              <w:rPr>
                <w:rFonts w:ascii="Arial" w:eastAsia="Times New Roman" w:hAnsi="Arial" w:cs="Arial"/>
                <w:color w:val="000000"/>
                <w:sz w:val="18"/>
                <w:szCs w:val="18"/>
                <w:lang w:val="en-US"/>
              </w:rPr>
              <w:t xml:space="preserve"> QX 2.4</w:t>
            </w:r>
          </w:p>
        </w:tc>
        <w:tc>
          <w:tcPr>
            <w:tcW w:w="1377" w:type="dxa"/>
          </w:tcPr>
          <w:p w14:paraId="170BFF3F"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&lt;0.005</w:t>
            </w:r>
          </w:p>
        </w:tc>
        <w:tc>
          <w:tcPr>
            <w:tcW w:w="663" w:type="dxa"/>
          </w:tcPr>
          <w:p w14:paraId="424BD4D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7231752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r>
      <w:tr w:rsidR="003D1F45" w:rsidRPr="00101744" w14:paraId="24022E7F" w14:textId="77777777" w:rsidTr="00B60BB2">
        <w:trPr>
          <w:trHeight w:val="300"/>
        </w:trPr>
        <w:tc>
          <w:tcPr>
            <w:tcW w:w="2269" w:type="dxa"/>
            <w:noWrap/>
            <w:hideMark/>
          </w:tcPr>
          <w:p w14:paraId="54B82CFD" w14:textId="333F8B71"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{"citationItems":[{"id":"ITEM-1","itemData":{"DOI":"10.1097/WNR.0b013e3280ebb49b","ISSN":"0959-4965","PMID":"17471059","abstract":"This study explored the neural basis of the processing of anomalous information (the N400 effect) in an arithmetic task. Twenty healthy undergraduate students were scanned while they performed a number-matching task. Relative to matched numbers, unmatched numbers elicited significantly greater activation at left inferior and superior parietal cortex, left inferior frontal gyrus, and left fusiform and lingual gyri. Combining these results and those of previous studies on semantic anomaly, we proposed that the parietal region is the source of the arithmetic N400 component and the left inferior frontal gyrus is involved in domain-general processing of anomalous information.","author":[{"dropping-particle":"","family":"Chen","given":"Chunhui","non-dropping-particle":"","parse-names":false,"suffix":""},{"dropping-particle":"","family":"Zhou","given":"Xinlin","non-dropping-particle":"","parse-names":false,"suffix":""},{"dropping-particle":"","family":"Chen","given":"Chuansheng","non-dropping-particle":"","parse-names":false,"suffix":""},{"dropping-particle":"","family":"Dong","given":"Qi","non-dropping-particle":"","parse-names":false,"suffix":""},{"dropping-particle":"","family":"Zang","given":"Yufeng","non-dropping-particle":"","parse-names":false,"suffix":""},{"dropping-particle":"","family":"Qiao","given":"Sibing","non-dropping-particle":"","parse-names":false,"suffix":""},{"dropping-particle":"","family":"Yang","given":"Tao","non-dropping-particle":"","parse-names":false,"suffix":""},{"dropping-particle":"","family":"Gong","given":"Qiyong","non-dropping-particle":"","parse-names":false,"suffix":""}],"container-title":"NeuroReport","id":"ITEM-1","issue":"8","issued":{"date-parts":[["2007","5","28"]]},"page":"747-751","title":"The neural basis of processing anomalous information","type":"article-journal","volume":"18"},"uris":["http://www.mendeley.com/documents/?uuid=238cda64-0cb2-3121-85c1-eff8d61a270b"]}],"mendeley":{"formattedCitation":"(Chen et al. 2007)","plainTextFormattedCitation":"(Chen et al. 2007)","previouslyFormattedCitation":"&lt;sup&gt;130&lt;/sup&gt;"},"properties":{"noteIndex":0},"schema":"https://github.com/citation-style-language/schema/raw/master/csl-citation.json"}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(Chen et al. 2007)</w:t>
            </w:r>
            <w:r w:rsidRPr="00101744">
              <w:rPr>
                <w:rFonts w:ascii="Arial" w:eastAsia="Times New Roman" w:hAnsi="Arial" w:cs="Arial"/>
                <w:color w:val="000000"/>
                <w:sz w:val="18"/>
                <w:szCs w:val="18"/>
                <w:lang w:val="en-US" w:eastAsia="pt-PT"/>
              </w:rPr>
              <w:fldChar w:fldCharType="end"/>
            </w:r>
          </w:p>
        </w:tc>
        <w:tc>
          <w:tcPr>
            <w:tcW w:w="709" w:type="dxa"/>
            <w:noWrap/>
            <w:hideMark/>
          </w:tcPr>
          <w:p w14:paraId="38A2CAF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w:t>
            </w:r>
          </w:p>
        </w:tc>
        <w:tc>
          <w:tcPr>
            <w:tcW w:w="709" w:type="dxa"/>
            <w:noWrap/>
            <w:hideMark/>
          </w:tcPr>
          <w:p w14:paraId="5852270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571" w:type="dxa"/>
            <w:noWrap/>
            <w:hideMark/>
          </w:tcPr>
          <w:p w14:paraId="62AFE63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704" w:type="dxa"/>
            <w:noWrap/>
            <w:hideMark/>
          </w:tcPr>
          <w:p w14:paraId="111FF8C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23</w:t>
            </w:r>
          </w:p>
        </w:tc>
        <w:tc>
          <w:tcPr>
            <w:tcW w:w="843" w:type="dxa"/>
            <w:noWrap/>
            <w:hideMark/>
          </w:tcPr>
          <w:p w14:paraId="12974BC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18-30</w:t>
            </w:r>
          </w:p>
        </w:tc>
        <w:tc>
          <w:tcPr>
            <w:tcW w:w="2268" w:type="dxa"/>
            <w:gridSpan w:val="2"/>
            <w:noWrap/>
            <w:hideMark/>
          </w:tcPr>
          <w:p w14:paraId="5143ADB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Arithmetic operations</w:t>
            </w:r>
          </w:p>
        </w:tc>
        <w:tc>
          <w:tcPr>
            <w:tcW w:w="708" w:type="dxa"/>
            <w:gridSpan w:val="2"/>
            <w:noWrap/>
            <w:hideMark/>
          </w:tcPr>
          <w:p w14:paraId="2C6C592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1710" w:type="dxa"/>
            <w:gridSpan w:val="2"/>
          </w:tcPr>
          <w:p w14:paraId="53A57A9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3T </w:t>
            </w:r>
            <w:proofErr w:type="spellStart"/>
            <w:r w:rsidRPr="00101744">
              <w:rPr>
                <w:rFonts w:ascii="Arial" w:eastAsia="Times New Roman" w:hAnsi="Arial" w:cs="Arial"/>
                <w:color w:val="000000"/>
                <w:sz w:val="18"/>
                <w:szCs w:val="18"/>
                <w:lang w:val="en-US"/>
              </w:rPr>
              <w:t>Elscint</w:t>
            </w:r>
            <w:proofErr w:type="spellEnd"/>
            <w:r w:rsidRPr="00101744">
              <w:rPr>
                <w:rFonts w:ascii="Arial" w:eastAsia="Times New Roman" w:hAnsi="Arial" w:cs="Arial"/>
                <w:color w:val="000000"/>
                <w:sz w:val="18"/>
                <w:szCs w:val="18"/>
                <w:lang w:val="en-US"/>
              </w:rPr>
              <w:t xml:space="preserve"> Prestige GE</w:t>
            </w:r>
          </w:p>
        </w:tc>
        <w:tc>
          <w:tcPr>
            <w:tcW w:w="1064" w:type="dxa"/>
          </w:tcPr>
          <w:p w14:paraId="0E5E01D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SPM2</w:t>
            </w:r>
          </w:p>
        </w:tc>
        <w:tc>
          <w:tcPr>
            <w:tcW w:w="1377" w:type="dxa"/>
          </w:tcPr>
          <w:p w14:paraId="4779C4BD"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&lt;0.001</w:t>
            </w:r>
          </w:p>
        </w:tc>
        <w:tc>
          <w:tcPr>
            <w:tcW w:w="663" w:type="dxa"/>
          </w:tcPr>
          <w:p w14:paraId="257D578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5492EFB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3.75</w:t>
            </w:r>
          </w:p>
        </w:tc>
      </w:tr>
      <w:tr w:rsidR="003D1F45" w:rsidRPr="00101744" w14:paraId="2CBE48D8" w14:textId="77777777" w:rsidTr="00B60BB2">
        <w:trPr>
          <w:trHeight w:val="300"/>
        </w:trPr>
        <w:tc>
          <w:tcPr>
            <w:tcW w:w="2269" w:type="dxa"/>
            <w:noWrap/>
            <w:hideMark/>
          </w:tcPr>
          <w:p w14:paraId="02BE85C6" w14:textId="34E8D635"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{"citationItems":[{"id":"ITEM-1","itemData":{"DOI":"10.1006/nimg.2000.0613","ISSN":"1053-8119","PMID":"10988030","abstract":"Lesion and brain-imaging studies have implicated the prefrontal and parietal cortices in arithmetic processing, but do not exclude the possibility that these brain areas are also involved in nonarithmetic operations. In the present study, we used functional magnetic resonance imaging to explore which brain areas contribute uniquely to numeric computation. Task difficulty was manipulated in a factorial design by varying the number of operands and the rate of stimulus presentation. Both manipulations increased the number of operations to be performed in unit time. Manipulating the number of operands allowed us to investigate the specific effect of calculation, while manipulating the rate of presentation allowed us to increase task difficulty independent of calculation. We found quantitative changes in activation patterns in the prefrontal and parietal cortices as well as the recruitment of additional brain regions, including the caudate and midcerebellar cortex, with increasing task difficulty. More importantly, the main effect of arithmetic complexity was observed in the left and right angular gyrus, while the main effect of rate of stimulus presentation was observed in the left insular/orbitofrontal cortex. Our findings indicate a dissociation in prefrontal and parietal cortex function during arithmetic processing and further provide the first evidence for a specific role for the angular gyrus in arithmetic computation independent of other processing demands.","author":[{"dropping-particle":"","family":"Menon","given":"V","non-dropping-particle":"","parse-names":false,"suffix":""},{"dropping-particle":"","family":"Rivera","given":"S M","non-dropping-particle":"","parse-names":false,"suffix":""},{"dropping-particle":"","family":"White","given":"C D","non-dropping-particle":"","parse-names":false,"suffix":""},{"dropping-particle":"","family":"Glover","given":"G H","non-dropping-particle":"","parse-names":false,"suffix":""},{"dropping-particle":"","family":"Reiss","given":"A L","non-dropping-particle":"","parse-names":false,"suffix":""}],"container-title":"NeuroImage","id":"ITEM-1","issue":"4","issued":{"date-parts":[["2000","10"]]},"page":"357-65","title":"Dissociating prefrontal and parietal cortex activation during arithmetic processing.","type":"article-journal","volume":"12"},"uris":["http://www.mendeley.com/documents/?uuid=99468432-3aea-3a81-a190-8492c65f6ca6"]}],"mendeley":{"formattedCitation":"(V Menon et al. 2000)","plainTextFormattedCitation":"(V Menon et al. 2000)","previouslyFormattedCitation":"&lt;sup&gt;131&lt;/sup&gt;"},"properties":{"noteIndex":0},"schema":"https://github.com/citation-style-language/schema/raw/master/csl-citation.json"}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(V Menon et al. 2000)</w:t>
            </w:r>
            <w:r w:rsidRPr="00101744">
              <w:rPr>
                <w:rFonts w:ascii="Arial" w:eastAsia="Times New Roman" w:hAnsi="Arial" w:cs="Arial"/>
                <w:color w:val="000000"/>
                <w:sz w:val="18"/>
                <w:szCs w:val="18"/>
                <w:lang w:val="en-US" w:eastAsia="pt-PT"/>
              </w:rPr>
              <w:fldChar w:fldCharType="end"/>
            </w:r>
          </w:p>
        </w:tc>
        <w:tc>
          <w:tcPr>
            <w:tcW w:w="709" w:type="dxa"/>
            <w:noWrap/>
            <w:hideMark/>
          </w:tcPr>
          <w:p w14:paraId="621EA2E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16</w:t>
            </w:r>
          </w:p>
        </w:tc>
        <w:tc>
          <w:tcPr>
            <w:tcW w:w="709" w:type="dxa"/>
            <w:noWrap/>
            <w:hideMark/>
          </w:tcPr>
          <w:p w14:paraId="4C5CEEB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571" w:type="dxa"/>
            <w:noWrap/>
            <w:hideMark/>
          </w:tcPr>
          <w:p w14:paraId="243F793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704" w:type="dxa"/>
            <w:noWrap/>
            <w:hideMark/>
          </w:tcPr>
          <w:p w14:paraId="321A016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20.3</w:t>
            </w:r>
          </w:p>
        </w:tc>
        <w:tc>
          <w:tcPr>
            <w:tcW w:w="843" w:type="dxa"/>
            <w:noWrap/>
            <w:hideMark/>
          </w:tcPr>
          <w:p w14:paraId="2AB5B99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17-23</w:t>
            </w:r>
          </w:p>
        </w:tc>
        <w:tc>
          <w:tcPr>
            <w:tcW w:w="2268" w:type="dxa"/>
            <w:gridSpan w:val="2"/>
            <w:noWrap/>
            <w:hideMark/>
          </w:tcPr>
          <w:p w14:paraId="189EC86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 (3 operands)</w:t>
            </w:r>
          </w:p>
        </w:tc>
        <w:tc>
          <w:tcPr>
            <w:tcW w:w="708" w:type="dxa"/>
            <w:gridSpan w:val="2"/>
            <w:noWrap/>
            <w:hideMark/>
          </w:tcPr>
          <w:p w14:paraId="1E79ECE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27</w:t>
            </w:r>
          </w:p>
        </w:tc>
        <w:tc>
          <w:tcPr>
            <w:tcW w:w="1710" w:type="dxa"/>
            <w:gridSpan w:val="2"/>
          </w:tcPr>
          <w:p w14:paraId="4681640E"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1.5T </w:t>
            </w:r>
            <w:proofErr w:type="spellStart"/>
            <w:r w:rsidRPr="00101744">
              <w:rPr>
                <w:rFonts w:ascii="Arial" w:eastAsia="Times New Roman" w:hAnsi="Arial" w:cs="Arial"/>
                <w:color w:val="000000"/>
                <w:sz w:val="18"/>
                <w:szCs w:val="18"/>
                <w:lang w:val="en-US"/>
              </w:rPr>
              <w:t>Signa</w:t>
            </w:r>
            <w:proofErr w:type="spellEnd"/>
            <w:r w:rsidRPr="00101744">
              <w:rPr>
                <w:rFonts w:ascii="Arial" w:eastAsia="Times New Roman" w:hAnsi="Arial" w:cs="Arial"/>
                <w:color w:val="000000"/>
                <w:sz w:val="18"/>
                <w:szCs w:val="18"/>
                <w:lang w:val="en-US"/>
              </w:rPr>
              <w:t xml:space="preserve"> GE</w:t>
            </w:r>
          </w:p>
        </w:tc>
        <w:tc>
          <w:tcPr>
            <w:tcW w:w="1064" w:type="dxa"/>
          </w:tcPr>
          <w:p w14:paraId="6CE851A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SPM99</w:t>
            </w:r>
          </w:p>
        </w:tc>
        <w:tc>
          <w:tcPr>
            <w:tcW w:w="1377" w:type="dxa"/>
          </w:tcPr>
          <w:p w14:paraId="2790D147"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Pcorr</w:t>
            </w:r>
            <w:proofErr w:type="spellEnd"/>
            <w:r w:rsidRPr="00101744">
              <w:rPr>
                <w:rFonts w:ascii="Arial" w:eastAsia="Times New Roman" w:hAnsi="Arial" w:cs="Arial"/>
                <w:color w:val="000000"/>
                <w:sz w:val="18"/>
                <w:szCs w:val="18"/>
                <w:lang w:val="en-US"/>
              </w:rPr>
              <w:t>&lt;0.01</w:t>
            </w:r>
          </w:p>
        </w:tc>
        <w:tc>
          <w:tcPr>
            <w:tcW w:w="663" w:type="dxa"/>
          </w:tcPr>
          <w:p w14:paraId="79B95C6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571A731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4.35</w:t>
            </w:r>
          </w:p>
        </w:tc>
      </w:tr>
      <w:tr w:rsidR="003D1F45" w:rsidRPr="00101744" w14:paraId="085DD6EB" w14:textId="77777777" w:rsidTr="00B60BB2">
        <w:trPr>
          <w:trHeight w:val="300"/>
        </w:trPr>
        <w:tc>
          <w:tcPr>
            <w:tcW w:w="2269" w:type="dxa"/>
            <w:noWrap/>
            <w:hideMark/>
          </w:tcPr>
          <w:p w14:paraId="1AFD5A3E" w14:textId="7AC3797E"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{"citationItems":[{"id":"ITEM-1","itemData":{"DOI":"10.1016/S0028-3932(99)00068-8","ISBN":"0028-3932","ISSN":"00283932","PMID":"10678698","abstract":"To explore brain areas involved in basic numerical computation, functional magnetic imaging (fMRI) scanning was performed on college students during performance of three tasks; simple arithmetic, numerical magnitude judgment, and a perceptual-motor control task. For the arithmetic relative to the other tasks, results for all eight subjects revealed bilateral activation in Brodmann’s area 44, in dorsolateral prefrontal cortex (areas 9 and 10), in inferior and superior parietal areas, and in lingual and fusiform gyri. Activation was stronger on the left for all subjects, but only at Brodmann’s area 44 and the parietal cortices. No activation was observed in the arithmetic task in several other areas previously implicated for arithmetic, including the angular and supramarginal gyri and the basal ganglia. In fact, angular and supramarginal gyri were significantly deactivated by the verification task relative to both the magnitude judgment and control tasks for every subject. Areas activated by the magnitude task relative to the control were more variable, but in five subjects included bilateral inferior parietal cortex. These results confirm some existing hypotheses regarding the neural basis of numerical processes, invite revision of others, and suggest productive lines for future investigation.","author":[{"dropping-particle":"","family":"Rickard","given":"T.C","non-dropping-particle":"","parse-names":false,"suffix":""},{"dropping-particle":"","family":"Romero","given":"S.G","non-dropping-particle":"","parse-names":false,"suffix":""},{"dropping-particle":"","family":"Basso","given":"G","non-dropping-particle":"","parse-names":false,"suffix":""},{"dropping-particle":"","family":"Wharton","given":"C","non-dropping-particle":"","parse-names":false,"suffix":""},{"dropping-particle":"","family":"Flitman","given":"S","non-dropping-particle":"","parse-names":false,"suffix":""},{"dropping-particle":"","family":"Grafman","given":"J","non-dropping-particle":"","parse-names":false,"suffix":""}],"container-title":"Neuropsychologia","id":"ITEM-1","issue":"3","issued":{"date-parts":[["2000"]]},"page":"325-335","title":"The calculating brain: an fMRI study","type":"article-journal","volume":"38"},"uris":["http://www.mendeley.com/documents/?uuid=99e27e41-c251-49c5-8c87-951de7530fc5"]}],"mendeley":{"formattedCitation":"(Rickard et al. 2000)","plainTextFormattedCitation":"(Rickard et al. 2000)","previouslyFormattedCitation":"&lt;sup&gt;132&lt;/sup&gt;"},"properties":{"noteIndex":0},"schema":"https://github.com/citation-style-language/schema/raw/master/csl-citation.json"}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(Rickard et al. 2000)</w:t>
            </w:r>
            <w:r w:rsidRPr="00101744">
              <w:rPr>
                <w:rFonts w:ascii="Arial" w:eastAsia="Times New Roman" w:hAnsi="Arial" w:cs="Arial"/>
                <w:color w:val="000000"/>
                <w:sz w:val="18"/>
                <w:szCs w:val="18"/>
                <w:lang w:val="en-US" w:eastAsia="pt-PT"/>
              </w:rPr>
              <w:fldChar w:fldCharType="end"/>
            </w:r>
          </w:p>
        </w:tc>
        <w:tc>
          <w:tcPr>
            <w:tcW w:w="709" w:type="dxa"/>
            <w:noWrap/>
            <w:hideMark/>
          </w:tcPr>
          <w:p w14:paraId="047BB2D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709" w:type="dxa"/>
            <w:noWrap/>
            <w:hideMark/>
          </w:tcPr>
          <w:p w14:paraId="1888FCC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c>
          <w:tcPr>
            <w:tcW w:w="571" w:type="dxa"/>
            <w:noWrap/>
            <w:hideMark/>
          </w:tcPr>
          <w:p w14:paraId="5A5574B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w:t>
            </w:r>
          </w:p>
        </w:tc>
        <w:tc>
          <w:tcPr>
            <w:tcW w:w="704" w:type="dxa"/>
            <w:noWrap/>
            <w:hideMark/>
          </w:tcPr>
          <w:p w14:paraId="1B6B934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24</w:t>
            </w:r>
          </w:p>
        </w:tc>
        <w:tc>
          <w:tcPr>
            <w:tcW w:w="843" w:type="dxa"/>
            <w:noWrap/>
            <w:hideMark/>
          </w:tcPr>
          <w:p w14:paraId="08FEF6B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20-34</w:t>
            </w:r>
          </w:p>
        </w:tc>
        <w:tc>
          <w:tcPr>
            <w:tcW w:w="2268" w:type="dxa"/>
            <w:gridSpan w:val="2"/>
            <w:noWrap/>
            <w:hideMark/>
          </w:tcPr>
          <w:p w14:paraId="384BD37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 (multiplication)</w:t>
            </w:r>
          </w:p>
        </w:tc>
        <w:tc>
          <w:tcPr>
            <w:tcW w:w="708" w:type="dxa"/>
            <w:gridSpan w:val="2"/>
            <w:noWrap/>
            <w:hideMark/>
          </w:tcPr>
          <w:p w14:paraId="4FFBBE1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1710" w:type="dxa"/>
            <w:gridSpan w:val="2"/>
          </w:tcPr>
          <w:p w14:paraId="07B9487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1.5T </w:t>
            </w:r>
            <w:proofErr w:type="spellStart"/>
            <w:r w:rsidRPr="00101744">
              <w:rPr>
                <w:rFonts w:ascii="Arial" w:eastAsia="Times New Roman" w:hAnsi="Arial" w:cs="Arial"/>
                <w:color w:val="000000"/>
                <w:sz w:val="18"/>
                <w:szCs w:val="18"/>
                <w:lang w:val="en-US"/>
              </w:rPr>
              <w:t>Signa</w:t>
            </w:r>
            <w:proofErr w:type="spellEnd"/>
            <w:r w:rsidRPr="00101744">
              <w:rPr>
                <w:rFonts w:ascii="Arial" w:eastAsia="Times New Roman" w:hAnsi="Arial" w:cs="Arial"/>
                <w:color w:val="000000"/>
                <w:sz w:val="18"/>
                <w:szCs w:val="18"/>
                <w:lang w:val="en-US"/>
              </w:rPr>
              <w:t xml:space="preserve"> GE</w:t>
            </w:r>
          </w:p>
        </w:tc>
        <w:tc>
          <w:tcPr>
            <w:tcW w:w="1064" w:type="dxa"/>
          </w:tcPr>
          <w:p w14:paraId="6A1E90B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SPM96b</w:t>
            </w:r>
          </w:p>
        </w:tc>
        <w:tc>
          <w:tcPr>
            <w:tcW w:w="1377" w:type="dxa"/>
          </w:tcPr>
          <w:p w14:paraId="31A39EBE"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&lt;0.001</w:t>
            </w:r>
          </w:p>
        </w:tc>
        <w:tc>
          <w:tcPr>
            <w:tcW w:w="663" w:type="dxa"/>
          </w:tcPr>
          <w:p w14:paraId="6D0DB11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3000</w:t>
            </w:r>
          </w:p>
        </w:tc>
        <w:tc>
          <w:tcPr>
            <w:tcW w:w="1148" w:type="dxa"/>
          </w:tcPr>
          <w:p w14:paraId="414ED568" w14:textId="77777777" w:rsidR="003D1F45" w:rsidRPr="00101744" w:rsidRDefault="003D1F45" w:rsidP="00B60BB2">
            <w:pPr>
              <w:jc w:val="center"/>
              <w:rPr>
                <w:rFonts w:ascii="Arial" w:eastAsia="Times New Roman" w:hAnsi="Arial" w:cs="Arial"/>
                <w:color w:val="000000"/>
                <w:sz w:val="18"/>
                <w:szCs w:val="18"/>
                <w:lang w:val="en-US" w:eastAsia="pt-PT"/>
              </w:rPr>
            </w:pPr>
          </w:p>
        </w:tc>
      </w:tr>
      <w:tr w:rsidR="003D1F45" w:rsidRPr="00101744" w14:paraId="3913836C" w14:textId="77777777" w:rsidTr="00B60BB2">
        <w:trPr>
          <w:trHeight w:val="300"/>
        </w:trPr>
        <w:tc>
          <w:tcPr>
            <w:tcW w:w="2269" w:type="dxa"/>
            <w:noWrap/>
            <w:hideMark/>
          </w:tcPr>
          <w:p w14:paraId="130AAA93" w14:textId="1C306ADA"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10.1002/hbm.10035","ISSN":"1065-9471","author":[{"dropping-particle":"","family":"Menon","given":"Vinod","non-dropping-particle":"","parse-names":false,"suffix":""},{"dropping-particle":"","family":"Mackenzie","given":"Katherine","non-dropping-particle":"","parse-names":false,"suffix":""},{"dropping-particle":"","family":"Rivera","given":"Susan Michelle","non-dropping-particle":"","parse-names":false,"suffix":""},{"dropping-particle":"","family":"Reiss","given":"Allan Leonard","non-dropping-particle":"","parse-names":false,"suffix":""}],"container-title":"Human Brain Mapping","id":"ITEM-1","issue":"2","issued":{"date-parts":[["2002","6","1"]]},"page":"119-130","publisher":"Wiley Subscription Services, Inc., A Wiley Company","title":"Prefrontal cortex involvement in processing incorrect arithmetic equations: Evidence from event-related fMRI","type":"article-journal","volume":"16"},"uris":["http://www.mendeley.com/documents/?uuid=ee9d4ce2-8a6a-3788-a00f-beb894730801"]}],"mendeley":{"formattedCitation":"(Vinod Menon et al. 2002)","plainTextFormattedCitation":"(Vinod Menon et al. 2002)","previouslyFormattedCitation":"&lt;sup&gt;133&lt;/sup&gt;"},"properties":{"noteIndex":0},"schema":"https://github.com/citation-style-language/schema/raw/master/csl-citation.json"}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(Vinod Menon et al. 2002)</w:t>
            </w:r>
            <w:r w:rsidRPr="00101744">
              <w:rPr>
                <w:rFonts w:ascii="Arial" w:eastAsia="Times New Roman" w:hAnsi="Arial" w:cs="Arial"/>
                <w:color w:val="000000"/>
                <w:sz w:val="18"/>
                <w:szCs w:val="18"/>
                <w:lang w:val="en-US" w:eastAsia="pt-PT"/>
              </w:rPr>
              <w:fldChar w:fldCharType="end"/>
            </w:r>
          </w:p>
        </w:tc>
        <w:tc>
          <w:tcPr>
            <w:tcW w:w="709" w:type="dxa"/>
            <w:noWrap/>
            <w:hideMark/>
          </w:tcPr>
          <w:p w14:paraId="1B3E7B8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16</w:t>
            </w:r>
          </w:p>
        </w:tc>
        <w:tc>
          <w:tcPr>
            <w:tcW w:w="709" w:type="dxa"/>
            <w:noWrap/>
            <w:hideMark/>
          </w:tcPr>
          <w:p w14:paraId="4715D7B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571" w:type="dxa"/>
            <w:noWrap/>
            <w:hideMark/>
          </w:tcPr>
          <w:p w14:paraId="2C02448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704" w:type="dxa"/>
            <w:noWrap/>
            <w:hideMark/>
          </w:tcPr>
          <w:p w14:paraId="6E0AD05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19.5</w:t>
            </w:r>
          </w:p>
        </w:tc>
        <w:tc>
          <w:tcPr>
            <w:tcW w:w="843" w:type="dxa"/>
            <w:noWrap/>
            <w:hideMark/>
          </w:tcPr>
          <w:p w14:paraId="2FE7A4C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16-23</w:t>
            </w:r>
          </w:p>
        </w:tc>
        <w:tc>
          <w:tcPr>
            <w:tcW w:w="2268" w:type="dxa"/>
            <w:gridSpan w:val="2"/>
            <w:noWrap/>
            <w:hideMark/>
          </w:tcPr>
          <w:p w14:paraId="64A8191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Arithmetic operations</w:t>
            </w:r>
          </w:p>
        </w:tc>
        <w:tc>
          <w:tcPr>
            <w:tcW w:w="708" w:type="dxa"/>
            <w:gridSpan w:val="2"/>
            <w:noWrap/>
            <w:hideMark/>
          </w:tcPr>
          <w:p w14:paraId="1FD6675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w:t>
            </w:r>
          </w:p>
        </w:tc>
        <w:tc>
          <w:tcPr>
            <w:tcW w:w="1710" w:type="dxa"/>
            <w:gridSpan w:val="2"/>
          </w:tcPr>
          <w:p w14:paraId="7F461C2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1.5T </w:t>
            </w:r>
            <w:proofErr w:type="spellStart"/>
            <w:r w:rsidRPr="00101744">
              <w:rPr>
                <w:rFonts w:ascii="Arial" w:eastAsia="Times New Roman" w:hAnsi="Arial" w:cs="Arial"/>
                <w:color w:val="000000"/>
                <w:sz w:val="18"/>
                <w:szCs w:val="18"/>
                <w:lang w:val="en-US"/>
              </w:rPr>
              <w:t>Signa</w:t>
            </w:r>
            <w:proofErr w:type="spellEnd"/>
            <w:r w:rsidRPr="00101744">
              <w:rPr>
                <w:rFonts w:ascii="Arial" w:eastAsia="Times New Roman" w:hAnsi="Arial" w:cs="Arial"/>
                <w:color w:val="000000"/>
                <w:sz w:val="18"/>
                <w:szCs w:val="18"/>
                <w:lang w:val="en-US"/>
              </w:rPr>
              <w:t xml:space="preserve"> GE</w:t>
            </w:r>
          </w:p>
        </w:tc>
        <w:tc>
          <w:tcPr>
            <w:tcW w:w="1064" w:type="dxa"/>
          </w:tcPr>
          <w:p w14:paraId="3FB24DC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SPM99</w:t>
            </w:r>
          </w:p>
        </w:tc>
        <w:tc>
          <w:tcPr>
            <w:tcW w:w="1377" w:type="dxa"/>
          </w:tcPr>
          <w:p w14:paraId="365E5D80"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Pcorr</w:t>
            </w:r>
            <w:proofErr w:type="spellEnd"/>
            <w:r w:rsidRPr="00101744">
              <w:rPr>
                <w:rFonts w:ascii="Arial" w:eastAsia="Times New Roman" w:hAnsi="Arial" w:cs="Arial"/>
                <w:color w:val="000000"/>
                <w:sz w:val="18"/>
                <w:szCs w:val="18"/>
                <w:lang w:val="en-US"/>
              </w:rPr>
              <w:t>&lt;0.01</w:t>
            </w:r>
          </w:p>
        </w:tc>
        <w:tc>
          <w:tcPr>
            <w:tcW w:w="663" w:type="dxa"/>
          </w:tcPr>
          <w:p w14:paraId="5D35D6A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7578DF1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3.75</w:t>
            </w:r>
          </w:p>
        </w:tc>
      </w:tr>
      <w:tr w:rsidR="003D1F45" w:rsidRPr="00101744" w14:paraId="3593DA74" w14:textId="77777777" w:rsidTr="00B60BB2">
        <w:trPr>
          <w:trHeight w:val="300"/>
        </w:trPr>
        <w:tc>
          <w:tcPr>
            <w:tcW w:w="2269" w:type="dxa"/>
            <w:noWrap/>
            <w:hideMark/>
          </w:tcPr>
          <w:p w14:paraId="3CA588B2" w14:textId="4CDBFB6D"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{"citationItems":[{"id":"ITEM-1","itemData":{"ISSN":"0926-6410","PMID":"14741309","abstract":"The purpose of this study was to examine brain areas involved in simple arithmetic, and to compare these areas between adults and children. Eight children (four girls and four boys; age, 9-14 years) and eight adults (four women and four men; age, 40-49 years) were subjected to this study. Functional magnetic resonance imaging (fMRI) was performed during mental calculation of addition, subtraction, and multiplication of single digits. In each group, the left middle frontal, bilateral inferior temporal and bilateral lateral occipital cortices were activated during each task. The adult group showed activation of the right frontal cortex during addition and multiplication tasks, but the children group did not. Activation of the intraparietal cortex was observed in the adult group during each task. Although, activation patterns were slightly different among tasks, as well as between groups, only a small number of areas showed statistically significant differences. The results indicate that cortical networks involved in simple arithmetic are similar among arithmetic operations, and may not show significant changes in the structure during the second decade of life.","author":[{"dropping-particle":"","family":"Kawashima","given":"Ryuta","non-dropping-particle":"","parse-names":false,"suffix":""},{"dropping-particle":"","family":"Taira","given":"Masato","non-dropping-particle":"","parse-names":false,"suffix":""},{"dropping-particle":"","family":"Okita","given":"Katsuo","non-dropping-particle":"","parse-names":false,"</w:instrText>
            </w:r>
            <w:r w:rsidR="00C14016" w:rsidRPr="00C14016">
              <w:rPr>
                <w:rFonts w:ascii="Arial" w:hAnsi="Arial" w:cs="Arial"/>
                <w:color w:val="000000"/>
                <w:sz w:val="18"/>
                <w:szCs w:val="18"/>
                <w:lang w:val="en-GB" w:eastAsia="pt-PT"/>
              </w:rPr>
              <w:instrText>suffix":""},{"dropping-particle":"","family":"Inoue","given":"Kentaro","non-dropping-particle":"","parse-names":false,"suffix":""},{"dropping-particle":"","family":"Tajima","given":"Nobumoto","non-dropping-particle":"","parse-names":false,"suffix":""},{"dropping-particle":"","family":"Yoshida","given":"Hajime","non-dropping-particle":"","parse-names":false,"suffix":""},{"dropping-particle":"","family":"Sasaki","given":"Takeo","non-dropping-particle":"","parse-names":false,"suffix":""},{"dropping-particle":"","family":"Sugiura","given":"Motoaki","non-dropping-particle":"","parse-names":false,"suffix":""},{"dropping-particle":"","family":"Watanabe","given":"Job","non-dropping-particle":"","parse-names":false,"suffix":""},{"dropping-particle":"","family":"Fukuda","given":"Hiroshi","non-dropping-particle":"","parse-names":false,"suffix":""}],"container-title":"Brain research. Cognitive brain research","id":"ITEM-1","issue":"3","issued":{"date-parts":[["2004","2"]]},"page":"227-33","title":"A functional MRI study of simple arithmetic--a comparison between children and adults.","type":"article-journal","volume":"18"},"uris":["http://www.mendeley.com/documents/?uuid=72be21b5-ccd5-3430-bf0a-13714ce44596"]}],"mendeley":{"formattedCitation":"(Kawashima et al. 2004)","plainTextFormattedCitation":"(Kawashima et al. 2004)","previouslyFormattedCitation":"&lt;sup&gt;134&lt;/sup&gt;"},"properties":{"noteIndex":0},"schema":"https://github.com/citation-style-language/schema/raw/master/csl-citation.json"}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val="en-GB" w:eastAsia="pt-PT"/>
              </w:rPr>
              <w:t>(Kawashima et al. 2004)</w:t>
            </w:r>
            <w:r w:rsidRPr="00101744">
              <w:rPr>
                <w:rFonts w:ascii="Arial" w:eastAsia="Times New Roman" w:hAnsi="Arial" w:cs="Arial"/>
                <w:color w:val="000000"/>
                <w:sz w:val="18"/>
                <w:szCs w:val="18"/>
                <w:lang w:val="en-US" w:eastAsia="pt-PT"/>
              </w:rPr>
              <w:fldChar w:fldCharType="end"/>
            </w:r>
          </w:p>
        </w:tc>
        <w:tc>
          <w:tcPr>
            <w:tcW w:w="709" w:type="dxa"/>
            <w:noWrap/>
            <w:hideMark/>
          </w:tcPr>
          <w:p w14:paraId="3579F2E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709" w:type="dxa"/>
            <w:noWrap/>
            <w:hideMark/>
          </w:tcPr>
          <w:p w14:paraId="226934E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w:t>
            </w:r>
          </w:p>
        </w:tc>
        <w:tc>
          <w:tcPr>
            <w:tcW w:w="571" w:type="dxa"/>
            <w:noWrap/>
            <w:hideMark/>
          </w:tcPr>
          <w:p w14:paraId="391F74B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w:t>
            </w:r>
          </w:p>
        </w:tc>
        <w:tc>
          <w:tcPr>
            <w:tcW w:w="704" w:type="dxa"/>
            <w:noWrap/>
            <w:hideMark/>
          </w:tcPr>
          <w:p w14:paraId="06CD281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44.1</w:t>
            </w:r>
          </w:p>
        </w:tc>
        <w:tc>
          <w:tcPr>
            <w:tcW w:w="843" w:type="dxa"/>
            <w:noWrap/>
            <w:hideMark/>
          </w:tcPr>
          <w:p w14:paraId="07878FC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40-49</w:t>
            </w:r>
          </w:p>
        </w:tc>
        <w:tc>
          <w:tcPr>
            <w:tcW w:w="2268" w:type="dxa"/>
            <w:gridSpan w:val="2"/>
            <w:noWrap/>
            <w:hideMark/>
          </w:tcPr>
          <w:p w14:paraId="76A3E9E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Arithmetic operations</w:t>
            </w:r>
          </w:p>
        </w:tc>
        <w:tc>
          <w:tcPr>
            <w:tcW w:w="708" w:type="dxa"/>
            <w:gridSpan w:val="2"/>
            <w:noWrap/>
            <w:hideMark/>
          </w:tcPr>
          <w:p w14:paraId="09516BF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28</w:t>
            </w:r>
          </w:p>
        </w:tc>
        <w:tc>
          <w:tcPr>
            <w:tcW w:w="1710" w:type="dxa"/>
            <w:gridSpan w:val="2"/>
          </w:tcPr>
          <w:p w14:paraId="13A7677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1.5T Symphony Siemens</w:t>
            </w:r>
          </w:p>
        </w:tc>
        <w:tc>
          <w:tcPr>
            <w:tcW w:w="1064" w:type="dxa"/>
          </w:tcPr>
          <w:p w14:paraId="183891A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SPM99b</w:t>
            </w:r>
          </w:p>
        </w:tc>
        <w:tc>
          <w:tcPr>
            <w:tcW w:w="1377" w:type="dxa"/>
          </w:tcPr>
          <w:p w14:paraId="4D3781B6"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Pcorr</w:t>
            </w:r>
            <w:proofErr w:type="spellEnd"/>
            <w:r w:rsidRPr="00101744">
              <w:rPr>
                <w:rFonts w:ascii="Arial" w:eastAsia="Times New Roman" w:hAnsi="Arial" w:cs="Arial"/>
                <w:color w:val="000000"/>
                <w:sz w:val="18"/>
                <w:szCs w:val="18"/>
                <w:lang w:val="en-US"/>
              </w:rPr>
              <w:t>&lt;0.05</w:t>
            </w:r>
          </w:p>
        </w:tc>
        <w:tc>
          <w:tcPr>
            <w:tcW w:w="663" w:type="dxa"/>
          </w:tcPr>
          <w:p w14:paraId="6578141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4000</w:t>
            </w:r>
          </w:p>
        </w:tc>
        <w:tc>
          <w:tcPr>
            <w:tcW w:w="1148" w:type="dxa"/>
          </w:tcPr>
          <w:p w14:paraId="4AA84CB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w:t>
            </w:r>
          </w:p>
        </w:tc>
      </w:tr>
      <w:tr w:rsidR="003D1F45" w:rsidRPr="00101744" w14:paraId="5525E589" w14:textId="77777777" w:rsidTr="00B60BB2">
        <w:trPr>
          <w:trHeight w:val="300"/>
        </w:trPr>
        <w:tc>
          <w:tcPr>
            <w:tcW w:w="2269" w:type="dxa"/>
            <w:noWrap/>
            <w:hideMark/>
          </w:tcPr>
          <w:p w14:paraId="0430630B" w14:textId="6C526887"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sidRPr="00C14016">
              <w:rPr>
                <w:rFonts w:ascii="Arial" w:hAnsi="Arial" w:cs="Arial"/>
                <w:color w:val="000000"/>
                <w:sz w:val="18"/>
                <w:szCs w:val="18"/>
                <w:lang w:val="en-GB" w:eastAsia="pt-PT"/>
              </w:rPr>
              <w:instrText>ADDIN CSL_CITATION {"citationItems":[{"id":"ITEM-1","itemData":{"ISSN":"0896-6273","PMID":"14622587","abstract":"Cognitive theories of numerical representation suggest that understanding of numerical quantities is driven by a magnitude representation associated with the intraparietal sulcus and possibly under genetic control. The aim of this study was to investigate, using fMRI and structural imaging, the interaction between the abnormal development of numerical representation in an X-linked condition, Turner syndrome (TS), and the development of the intraparietal sulcus. fMRI during exact and approximate calculation in TS showed an abnormal modulation of intraparietal activations as a function of number size. Morphological analysis revealed an abnormal length, depth, and sulcal geometry of the right intraparietal sulcus, suggesting an important disorganization of this region in TS. Thus, a genetic form of developmental dyscalculia can be related to both functional and structural anomalies of the right intraparietal sulcus, suggesting a crucial role of this region in the development of arithmetic abilities.","author":[{"dropping-particle":"","family":"Molko","given":"Nicolas","non-dropping-particle":"","parse-names":false,"suffix":""},{"dropping-particle":"","family":"Cachia","given":"Arnaud","non-dropping-particle":"","parse-names":false,"suffix":""},{"dropping</w:instrText>
            </w:r>
            <w:r w:rsidR="00C14016">
              <w:rPr>
                <w:rFonts w:ascii="Arial" w:hAnsi="Arial" w:cs="Arial"/>
                <w:color w:val="000000"/>
                <w:sz w:val="18"/>
                <w:szCs w:val="18"/>
                <w:lang w:eastAsia="pt-PT"/>
              </w:rPr>
              <w:instrText>-particle":"","family":"Rivière","given":"Denis","non-dropping-particle":"","parse-names":false,"suffix":""},{"dropping-particle":"","family":"Mangin","given":"Jean François","non-dropping-particle":"","parse-names":false,"suffix":""},{"dropping-particle":"","family":"Bruandet","given":"Marie","non-dropping-particle":"","parse-names":false,"suffix":""},{"dropping-particle":"","family":"Bihan","given":"Denis","non-dropping-particle":"Le","parse-names":false,"suffix":""},{"dropping-particle":"","family":"Cohen","given":"Laurent","non-dropping-particle":"","parse-names":false,"suffix":""},{"dropping-particle":"","family":"Dehaene","given":"Stanislas","non-dropping-particle":"","parse-names":false,"suffix":""}],"container-title":"Neuron","id":"ITEM-1","issue":"4","issued":{"date-parts":[["2003","11","13"]]},"page":"847-58","title":"Functional and structural alterations of the intraparietal sulcus in a developmental dyscalculia of genetic origin.","type":"article-journal","volume":"40"},"uris":["http://www.mendeley.com/documents/?uuid=b308f0a3-4dd9-3d53-949d-3022fb69c83e"]}],"mendeley":{"formattedCitation":"(Molko et al. 2003)","plainTextFormattedCitation":"(Molko et al. 2003)","previouslyFormattedCitation":"&lt;sup&gt;135&lt;/sup&gt;"},"properties":{"noteIndex":0},"schema":"https://github.com/citation-style-language/schema/raw/master/csl-citation.json"}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(Molko et al. 2003)</w:t>
            </w:r>
            <w:r w:rsidRPr="00101744">
              <w:rPr>
                <w:rFonts w:ascii="Arial" w:eastAsia="Times New Roman" w:hAnsi="Arial" w:cs="Arial"/>
                <w:color w:val="000000"/>
                <w:sz w:val="18"/>
                <w:szCs w:val="18"/>
                <w:lang w:val="en-US" w:eastAsia="pt-PT"/>
              </w:rPr>
              <w:fldChar w:fldCharType="end"/>
            </w:r>
          </w:p>
        </w:tc>
        <w:tc>
          <w:tcPr>
            <w:tcW w:w="709" w:type="dxa"/>
            <w:noWrap/>
            <w:hideMark/>
          </w:tcPr>
          <w:p w14:paraId="4F545AB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14</w:t>
            </w:r>
          </w:p>
        </w:tc>
        <w:tc>
          <w:tcPr>
            <w:tcW w:w="709" w:type="dxa"/>
            <w:noWrap/>
            <w:hideMark/>
          </w:tcPr>
          <w:p w14:paraId="7229D1E9"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571" w:type="dxa"/>
            <w:noWrap/>
            <w:hideMark/>
          </w:tcPr>
          <w:p w14:paraId="4966BBE6" w14:textId="77777777" w:rsidR="003D1F45" w:rsidRPr="00101744" w:rsidRDefault="003D1F45" w:rsidP="00B60BB2">
            <w:pPr>
              <w:jc w:val="center"/>
              <w:rPr>
                <w:rFonts w:ascii="Arial" w:eastAsia="Times New Roman" w:hAnsi="Arial" w:cs="Arial"/>
                <w:sz w:val="18"/>
                <w:szCs w:val="18"/>
                <w:lang w:val="en-US" w:eastAsia="pt-PT"/>
              </w:rPr>
            </w:pPr>
          </w:p>
        </w:tc>
        <w:tc>
          <w:tcPr>
            <w:tcW w:w="704" w:type="dxa"/>
            <w:noWrap/>
            <w:hideMark/>
          </w:tcPr>
          <w:p w14:paraId="054341E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24.3</w:t>
            </w:r>
          </w:p>
        </w:tc>
        <w:tc>
          <w:tcPr>
            <w:tcW w:w="843" w:type="dxa"/>
            <w:noWrap/>
            <w:hideMark/>
          </w:tcPr>
          <w:p w14:paraId="0043B1C8"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4007F2F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w:t>
            </w:r>
          </w:p>
        </w:tc>
        <w:tc>
          <w:tcPr>
            <w:tcW w:w="708" w:type="dxa"/>
            <w:gridSpan w:val="2"/>
            <w:noWrap/>
            <w:hideMark/>
          </w:tcPr>
          <w:p w14:paraId="0C01A9A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11</w:t>
            </w:r>
          </w:p>
        </w:tc>
        <w:tc>
          <w:tcPr>
            <w:tcW w:w="1710" w:type="dxa"/>
            <w:gridSpan w:val="2"/>
          </w:tcPr>
          <w:p w14:paraId="36D565E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1.5T </w:t>
            </w:r>
            <w:proofErr w:type="spellStart"/>
            <w:r w:rsidRPr="00101744">
              <w:rPr>
                <w:rFonts w:ascii="Arial" w:eastAsia="Times New Roman" w:hAnsi="Arial" w:cs="Arial"/>
                <w:color w:val="000000"/>
                <w:sz w:val="18"/>
                <w:szCs w:val="18"/>
                <w:lang w:val="en-US"/>
              </w:rPr>
              <w:t>Signa</w:t>
            </w:r>
            <w:proofErr w:type="spellEnd"/>
            <w:r w:rsidRPr="00101744">
              <w:rPr>
                <w:rFonts w:ascii="Arial" w:eastAsia="Times New Roman" w:hAnsi="Arial" w:cs="Arial"/>
                <w:color w:val="000000"/>
                <w:sz w:val="18"/>
                <w:szCs w:val="18"/>
                <w:lang w:val="en-US"/>
              </w:rPr>
              <w:t xml:space="preserve"> GE</w:t>
            </w:r>
          </w:p>
        </w:tc>
        <w:tc>
          <w:tcPr>
            <w:tcW w:w="1064" w:type="dxa"/>
          </w:tcPr>
          <w:p w14:paraId="33B3DFC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SPM99</w:t>
            </w:r>
          </w:p>
        </w:tc>
        <w:tc>
          <w:tcPr>
            <w:tcW w:w="1377" w:type="dxa"/>
          </w:tcPr>
          <w:p w14:paraId="169DD035"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voxelwise</w:t>
            </w:r>
            <w:proofErr w:type="spellEnd"/>
            <w:r w:rsidRPr="00101744">
              <w:rPr>
                <w:rFonts w:ascii="Arial" w:eastAsia="Times New Roman" w:hAnsi="Arial" w:cs="Arial"/>
                <w:color w:val="000000"/>
                <w:sz w:val="18"/>
                <w:szCs w:val="18"/>
                <w:lang w:val="en-US"/>
              </w:rPr>
              <w:t xml:space="preserve"> P&lt;0.001</w:t>
            </w:r>
          </w:p>
        </w:tc>
        <w:tc>
          <w:tcPr>
            <w:tcW w:w="663" w:type="dxa"/>
          </w:tcPr>
          <w:p w14:paraId="3F494A1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4000</w:t>
            </w:r>
          </w:p>
        </w:tc>
        <w:tc>
          <w:tcPr>
            <w:tcW w:w="1148" w:type="dxa"/>
          </w:tcPr>
          <w:p w14:paraId="79ABF6B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3.75</w:t>
            </w:r>
          </w:p>
        </w:tc>
      </w:tr>
      <w:tr w:rsidR="003D1F45" w:rsidRPr="00101744" w14:paraId="00466D40" w14:textId="77777777" w:rsidTr="00B60BB2">
        <w:trPr>
          <w:trHeight w:val="300"/>
        </w:trPr>
        <w:tc>
          <w:tcPr>
            <w:tcW w:w="2269" w:type="dxa"/>
            <w:noWrap/>
            <w:hideMark/>
          </w:tcPr>
          <w:p w14:paraId="29E3A531" w14:textId="5A53DE43"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{"citationItems":[{"id":"ITEM-1","itemData":{"DOI":"10.1093/cercor/bhl010","ISSN":"1047-3211","author":[{"dropping-particle":"","family":"Pisapia","given":"N.","non-dropping-particle":"De","parse-names":false,"suffix":""},{"dropping-particle":"","family":"Slomski","given":"J. A.","non-dropping-particle":"","parse-names":false,"suffix":""},{"dropping-particle":"","family":"Braver","given":"T. S.","non-dropping-particle":"","parse-names":false,"suffix":""}],"container-title":"Cerebral Cortex","id":"ITEM-1","issue":"5","issued":{"date-parts":[["2006","6","13"]]},"page":"993-1006","publisher":"Oxford University Press","title":"Functional Specializations in Lateral Prefrontal Cortex Associated with the Integration and Segregation of Information in Working Memory","type":"article-journal","volume":"17"},"uris":["http://www.mendeley.com/documents/?uuid=c228b1c8-9c1a-3eda-9852-6cf40bb1845a"]}],"mendeley":{"formattedCitation":"(De Pisapia, Slomski, and Braver 2006)","plainTextFormattedCitation":"(De Pisapia, Slomski, and Braver 2006)","previouslyFormattedCitation":"&lt;sup&gt;136&lt;/sup&gt;"},"properties":{"noteIndex":0},"schema":"https://github.com/citation-style-language/schema/raw/master/csl-citation.json"}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(De Pisapia, Slomski, and Braver 2006)</w:t>
            </w:r>
            <w:r w:rsidRPr="00101744">
              <w:rPr>
                <w:rFonts w:ascii="Arial" w:eastAsia="Times New Roman" w:hAnsi="Arial" w:cs="Arial"/>
                <w:color w:val="000000"/>
                <w:sz w:val="18"/>
                <w:szCs w:val="18"/>
                <w:lang w:val="en-US" w:eastAsia="pt-PT"/>
              </w:rPr>
              <w:fldChar w:fldCharType="end"/>
            </w:r>
          </w:p>
        </w:tc>
        <w:tc>
          <w:tcPr>
            <w:tcW w:w="709" w:type="dxa"/>
            <w:noWrap/>
            <w:hideMark/>
          </w:tcPr>
          <w:p w14:paraId="1D451C4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w:t>
            </w:r>
          </w:p>
        </w:tc>
        <w:tc>
          <w:tcPr>
            <w:tcW w:w="709" w:type="dxa"/>
            <w:noWrap/>
            <w:hideMark/>
          </w:tcPr>
          <w:p w14:paraId="7F5A6A3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571" w:type="dxa"/>
            <w:noWrap/>
            <w:hideMark/>
          </w:tcPr>
          <w:p w14:paraId="4AAAAAE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12</w:t>
            </w:r>
          </w:p>
        </w:tc>
        <w:tc>
          <w:tcPr>
            <w:tcW w:w="704" w:type="dxa"/>
            <w:noWrap/>
            <w:hideMark/>
          </w:tcPr>
          <w:p w14:paraId="106C679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21,5</w:t>
            </w:r>
          </w:p>
        </w:tc>
        <w:tc>
          <w:tcPr>
            <w:tcW w:w="843" w:type="dxa"/>
            <w:noWrap/>
            <w:hideMark/>
          </w:tcPr>
          <w:p w14:paraId="29CE103A"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2268" w:type="dxa"/>
            <w:gridSpan w:val="2"/>
            <w:noWrap/>
            <w:hideMark/>
          </w:tcPr>
          <w:p w14:paraId="61513FC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w:t>
            </w:r>
          </w:p>
        </w:tc>
        <w:tc>
          <w:tcPr>
            <w:tcW w:w="708" w:type="dxa"/>
            <w:gridSpan w:val="2"/>
            <w:noWrap/>
            <w:hideMark/>
          </w:tcPr>
          <w:p w14:paraId="0508DD2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9</w:t>
            </w:r>
          </w:p>
        </w:tc>
        <w:tc>
          <w:tcPr>
            <w:tcW w:w="1710" w:type="dxa"/>
            <w:gridSpan w:val="2"/>
          </w:tcPr>
          <w:p w14:paraId="4018366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1.5T Vision Siemens</w:t>
            </w:r>
          </w:p>
        </w:tc>
        <w:tc>
          <w:tcPr>
            <w:tcW w:w="1064" w:type="dxa"/>
          </w:tcPr>
          <w:p w14:paraId="7BEBA0BF" w14:textId="77777777" w:rsidR="003D1F45" w:rsidRPr="00101744" w:rsidRDefault="003D1F45" w:rsidP="00B60BB2">
            <w:pPr>
              <w:jc w:val="center"/>
              <w:rPr>
                <w:rFonts w:ascii="Arial" w:eastAsia="Times New Roman" w:hAnsi="Arial" w:cs="Arial"/>
                <w:color w:val="000000"/>
                <w:sz w:val="18"/>
                <w:szCs w:val="18"/>
                <w:lang w:val="en-US" w:eastAsia="pt-PT"/>
              </w:rPr>
            </w:pPr>
          </w:p>
        </w:tc>
        <w:tc>
          <w:tcPr>
            <w:tcW w:w="1377" w:type="dxa"/>
          </w:tcPr>
          <w:p w14:paraId="1982BA59"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&lt;0.05</w:t>
            </w:r>
          </w:p>
        </w:tc>
        <w:tc>
          <w:tcPr>
            <w:tcW w:w="663" w:type="dxa"/>
          </w:tcPr>
          <w:p w14:paraId="47339EA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2500</w:t>
            </w:r>
          </w:p>
        </w:tc>
        <w:tc>
          <w:tcPr>
            <w:tcW w:w="1148" w:type="dxa"/>
          </w:tcPr>
          <w:p w14:paraId="225A60F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t>3.75</w:t>
            </w:r>
          </w:p>
        </w:tc>
      </w:tr>
      <w:tr w:rsidR="003D1F45" w:rsidRPr="00101744" w14:paraId="52566D63" w14:textId="77777777" w:rsidTr="00B60BB2">
        <w:trPr>
          <w:trHeight w:val="300"/>
        </w:trPr>
        <w:tc>
          <w:tcPr>
            <w:tcW w:w="2269" w:type="dxa"/>
            <w:noWrap/>
            <w:hideMark/>
          </w:tcPr>
          <w:p w14:paraId="28D9E65A" w14:textId="0F37D6F2"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{"citationItems":[{"id":"ITEM-1","itemData":{"DOI":"10.1016/j.neuroimage.2006.12.017","ISSN":"10538119","PMID":"17292628","abstract":"This study compared the patterns of brain activation elicited by single-digit addition and multiplication problems. 20 Chinese undergraduates were asked to verify whether arithmetic equations were true or false during functional magnetic resonance imaging. Results showed that both addition and multiplication were supported by a broad neural system that involved regions within SMA, precentral gyrus, intraparietal sulcus, occipital gyri, superior temporal gyrus, and middle frontal gyrus, as well as some subcortical structures. Nevertheless, addition problems elicited more activation in the intraparietal sulcus and middle occipital gyri at the right hemisphere, and superior occipital gyri at both hemispheres, whereas multiplication had more activation in precentral gyrus, supplementary motor areas, and posterior and anterior superior temporal gyrus at the left hemisphere. This pattern of dissociated activation supports our hypothesis that addition has greater reliance on visuospatial processing and multiplication on verbal processing.","author":[{"dropping-particle":"","family":"Zhou","given":"Xinlin","non-dropping-particle":"","parse-names":false,"suffix":""},{"dropping-particle":"","family":"Chen","given":"Chuansheng","non-dropping-particle":"","parse-names":false,"suffix":""},{"dropping-particle":"","family":"Zang","given":"Yufeng","non-dropping-particle":"","parse-names":false,"suffix":""},{"dropping-particle":"","family":"Dong","given":"Qi","non-dropping-particle":"","parse-names":false,"suffix":""},{"dropping-particle":"","family":"Chen","given":"Chunhui","non-dropping-particle":"","parse-names":false,"suffix":""},{"dropping-particle":"","family":"Qiao","given":"Sibing","non-dropping-particle":"","parse-names":false,"suffix":""},{"dropping-particle":"","family":"Gong","given":"Qiyong","non-dropping-particle":"","parse-names":false,"suffix":""}],"container-title":"NeuroImage","id":"ITEM-1","issue":"2","issued":{"date-parts":[["2007","4","1"]]},"page":"871-880","title":"Dissociated brain organization for single-digit addition and multiplication","type":"article-journal","volume":"35"},"uris":["http://www.mendeley.com/documents/?uuid=9ee37111-85ad-3287-b86b-8f513bfc07b6"]}],"mendeley":{"formattedCitation":"(Zhou et al. 2007)","plainTextFormattedCitation":"(Zhou et al. 2007)","previouslyFormattedCitation":"&lt;sup&gt;137&lt;/sup&gt;"},"properties":{"noteIndex":0},"schema":"https://github.com/citation-style-language/schema/raw/master/csl-citation.json"}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(Zhou et al. 2007)</w:t>
            </w:r>
            <w:r w:rsidRPr="00101744">
              <w:rPr>
                <w:rFonts w:ascii="Arial" w:eastAsia="Times New Roman" w:hAnsi="Arial" w:cs="Arial"/>
                <w:color w:val="000000"/>
                <w:sz w:val="18"/>
                <w:szCs w:val="18"/>
                <w:lang w:val="en-US" w:eastAsia="pt-PT"/>
              </w:rPr>
              <w:fldChar w:fldCharType="end"/>
            </w:r>
          </w:p>
        </w:tc>
        <w:tc>
          <w:tcPr>
            <w:tcW w:w="709" w:type="dxa"/>
            <w:noWrap/>
            <w:hideMark/>
          </w:tcPr>
          <w:p w14:paraId="4A66C3B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w:t>
            </w:r>
          </w:p>
        </w:tc>
        <w:tc>
          <w:tcPr>
            <w:tcW w:w="709" w:type="dxa"/>
            <w:noWrap/>
            <w:hideMark/>
          </w:tcPr>
          <w:p w14:paraId="636F347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571" w:type="dxa"/>
            <w:noWrap/>
            <w:hideMark/>
          </w:tcPr>
          <w:p w14:paraId="3C3CDC8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704" w:type="dxa"/>
            <w:noWrap/>
            <w:hideMark/>
          </w:tcPr>
          <w:p w14:paraId="05E3EC7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22.7</w:t>
            </w:r>
          </w:p>
        </w:tc>
        <w:tc>
          <w:tcPr>
            <w:tcW w:w="843" w:type="dxa"/>
            <w:noWrap/>
            <w:hideMark/>
          </w:tcPr>
          <w:p w14:paraId="13F3ACD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18-30</w:t>
            </w:r>
          </w:p>
        </w:tc>
        <w:tc>
          <w:tcPr>
            <w:tcW w:w="2268" w:type="dxa"/>
            <w:gridSpan w:val="2"/>
            <w:noWrap/>
            <w:hideMark/>
          </w:tcPr>
          <w:p w14:paraId="063B31A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Calculation (Multiplication) </w:t>
            </w:r>
          </w:p>
        </w:tc>
        <w:tc>
          <w:tcPr>
            <w:tcW w:w="708" w:type="dxa"/>
            <w:gridSpan w:val="2"/>
            <w:noWrap/>
            <w:hideMark/>
          </w:tcPr>
          <w:p w14:paraId="27ED140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14</w:t>
            </w:r>
          </w:p>
        </w:tc>
        <w:tc>
          <w:tcPr>
            <w:tcW w:w="1710" w:type="dxa"/>
            <w:gridSpan w:val="2"/>
          </w:tcPr>
          <w:p w14:paraId="4D2574F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3T Excite GE</w:t>
            </w:r>
          </w:p>
        </w:tc>
        <w:tc>
          <w:tcPr>
            <w:tcW w:w="1064" w:type="dxa"/>
          </w:tcPr>
          <w:p w14:paraId="31059C5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SPM2</w:t>
            </w:r>
          </w:p>
        </w:tc>
        <w:tc>
          <w:tcPr>
            <w:tcW w:w="1377" w:type="dxa"/>
          </w:tcPr>
          <w:p w14:paraId="3F4CC486"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&lt;0.001</w:t>
            </w:r>
          </w:p>
        </w:tc>
        <w:tc>
          <w:tcPr>
            <w:tcW w:w="663" w:type="dxa"/>
          </w:tcPr>
          <w:p w14:paraId="7F1C249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3000</w:t>
            </w:r>
          </w:p>
        </w:tc>
        <w:tc>
          <w:tcPr>
            <w:tcW w:w="1148" w:type="dxa"/>
          </w:tcPr>
          <w:p w14:paraId="75B5965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3.75</w:t>
            </w:r>
          </w:p>
        </w:tc>
      </w:tr>
      <w:tr w:rsidR="003D1F45" w:rsidRPr="00101744" w14:paraId="6E9D3332" w14:textId="77777777" w:rsidTr="00B60BB2">
        <w:trPr>
          <w:trHeight w:val="300"/>
        </w:trPr>
        <w:tc>
          <w:tcPr>
            <w:tcW w:w="2269" w:type="dxa"/>
            <w:noWrap/>
            <w:hideMark/>
          </w:tcPr>
          <w:p w14:paraId="58AF55B1" w14:textId="2CFDD2A9"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{"citationItems":[{"id":"ITEM-1","itemData":{"DOI":"10.1016/j.brainres.2007.12.070","ISSN":"0006-8993","PMID":"18291350","abstract":"Using a dual-serial-arithmetic paradigm, we examined whether a capacity limitation constrains the neural activation that underlies dual-task performance. Six conditions were run in the experiment (the baseline, single-addition, single-subtraction, dual-addition, dual-subtraction, and the dual-operation condition). In the baseline condition, participants were asked to remember the initial pair of numbers and ignore subsequent stimuli. In the single-addition and single-subtraction conditions, participants had to calculate a running total over a series of stimuli. In the dual-addition and dual-subtraction conditions, they had to do two arithmetic tasks involving the same operand (e.g., + 2 and + 7, - 3 and - 5). Participants performed one addition and one subtraction task (e.g., + 2 and - 7, - 3 and + 5) in the dual-operation condition. The functional magnetic resonance imaging results showed strict left prefrontal and parietal regions in the single-addition condition and bilateral activation in the single-subtraction condition. Greater activation in the prefrontal and parietal regions was observed in both the dual-operation condition and the dual-addition condition in comparison to the single-addition condition. No greater activation was observed in either the dual-operation condition or dual-subtraction condition in comparison to the single-subtraction condition. These results suggest a constraint imposed by a limit in capacity for the neural activity subserving dual-task performance when one of the tasks places high resource demands on the executive network.","author":[{"dropping-particle":"","family":"Kuo","given":"Bo-Cheng","non-dropping-particle":"","parse-names":false,"suffix":""},{"dropping-particle":"","family":"Yeh","given":"Yei-Yu","non-dropping-particle":"","parse-names":false,"suffix":""},{"dropping-particle":"","family":"Chen","given":"Der-Yow","non-dropping-particle":"","parse-names":false,"suffix":""},{"dropping-particle":"","family":"Liang","given":"Keng Chen","non-dropping-particle":"","parse-names":false,"suffix":""},{"dropping-particle":"","family":"Chen","given":"Jyh-Horng","non-dropping-particle":"","parse-names":false,"suffix":""}],"container-title":"Brain research","id":"ITEM-1","issued":{"date-parts":[["2008","3","14"]]},"page":"100-10","title":"The capacity constraint in the prefrontal and parietal regions for coordinating dual arithmetic tasks.","type":"article-journal","volume":"1199"},"uris":["http://www.mendeley.com/documents/?uuid=06f5e2e7-bdc5-3118-9cbd-3502e3e1dfdf"]}],"mendeley":{"formattedCitation":"(Kuo et al. 2008)","plainTextFormattedCitation":"(Kuo et al. 2008)","previouslyFormattedCitation":"&lt;sup&gt;138&lt;/sup&gt;"},"properties":{"noteIndex":0},"schema":"https://github.com/citation-style-language/schema/raw/master/csl-citation.json"}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(Kuo et al. 2008)</w:t>
            </w:r>
            <w:r w:rsidRPr="00101744">
              <w:rPr>
                <w:rFonts w:ascii="Arial" w:eastAsia="Times New Roman" w:hAnsi="Arial" w:cs="Arial"/>
                <w:color w:val="000000"/>
                <w:sz w:val="18"/>
                <w:szCs w:val="18"/>
                <w:lang w:val="en-US" w:eastAsia="pt-PT"/>
              </w:rPr>
              <w:fldChar w:fldCharType="end"/>
            </w:r>
          </w:p>
        </w:tc>
        <w:tc>
          <w:tcPr>
            <w:tcW w:w="709" w:type="dxa"/>
            <w:noWrap/>
            <w:hideMark/>
          </w:tcPr>
          <w:p w14:paraId="5977424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12</w:t>
            </w:r>
          </w:p>
        </w:tc>
        <w:tc>
          <w:tcPr>
            <w:tcW w:w="709" w:type="dxa"/>
            <w:noWrap/>
            <w:hideMark/>
          </w:tcPr>
          <w:p w14:paraId="4F35F1C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571" w:type="dxa"/>
            <w:noWrap/>
            <w:hideMark/>
          </w:tcPr>
          <w:p w14:paraId="638A7A7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704" w:type="dxa"/>
            <w:noWrap/>
            <w:hideMark/>
          </w:tcPr>
          <w:p w14:paraId="528A545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w:t>
            </w:r>
          </w:p>
        </w:tc>
        <w:tc>
          <w:tcPr>
            <w:tcW w:w="843" w:type="dxa"/>
            <w:noWrap/>
            <w:hideMark/>
          </w:tcPr>
          <w:p w14:paraId="1FD297A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21-29</w:t>
            </w:r>
          </w:p>
        </w:tc>
        <w:tc>
          <w:tcPr>
            <w:tcW w:w="2268" w:type="dxa"/>
            <w:gridSpan w:val="2"/>
            <w:noWrap/>
            <w:hideMark/>
          </w:tcPr>
          <w:p w14:paraId="6D0F9EE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 (Addition)</w:t>
            </w:r>
          </w:p>
        </w:tc>
        <w:tc>
          <w:tcPr>
            <w:tcW w:w="708" w:type="dxa"/>
            <w:gridSpan w:val="2"/>
            <w:noWrap/>
            <w:hideMark/>
          </w:tcPr>
          <w:p w14:paraId="0B50E71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21</w:t>
            </w:r>
          </w:p>
        </w:tc>
        <w:tc>
          <w:tcPr>
            <w:tcW w:w="1710" w:type="dxa"/>
            <w:gridSpan w:val="2"/>
          </w:tcPr>
          <w:p w14:paraId="39BDC33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3T </w:t>
            </w:r>
            <w:proofErr w:type="spellStart"/>
            <w:r w:rsidRPr="00101744">
              <w:rPr>
                <w:rFonts w:ascii="Arial" w:eastAsia="Times New Roman" w:hAnsi="Arial" w:cs="Arial"/>
                <w:color w:val="000000"/>
                <w:sz w:val="18"/>
                <w:szCs w:val="18"/>
                <w:lang w:val="en-US"/>
              </w:rPr>
              <w:t>MedSpec</w:t>
            </w:r>
            <w:proofErr w:type="spellEnd"/>
            <w:r w:rsidRPr="00101744">
              <w:rPr>
                <w:rFonts w:ascii="Arial" w:eastAsia="Times New Roman" w:hAnsi="Arial" w:cs="Arial"/>
                <w:color w:val="000000"/>
                <w:sz w:val="18"/>
                <w:szCs w:val="18"/>
                <w:lang w:val="en-US"/>
              </w:rPr>
              <w:t xml:space="preserve"> Bruker</w:t>
            </w:r>
          </w:p>
        </w:tc>
        <w:tc>
          <w:tcPr>
            <w:tcW w:w="1064" w:type="dxa"/>
          </w:tcPr>
          <w:p w14:paraId="3FF6930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SPM99</w:t>
            </w:r>
          </w:p>
        </w:tc>
        <w:tc>
          <w:tcPr>
            <w:tcW w:w="1377" w:type="dxa"/>
          </w:tcPr>
          <w:p w14:paraId="71737E62"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voxelwise</w:t>
            </w:r>
            <w:proofErr w:type="spellEnd"/>
            <w:r w:rsidRPr="00101744">
              <w:rPr>
                <w:rFonts w:ascii="Arial" w:eastAsia="Times New Roman" w:hAnsi="Arial" w:cs="Arial"/>
                <w:color w:val="000000"/>
                <w:sz w:val="18"/>
                <w:szCs w:val="18"/>
                <w:lang w:val="en-US"/>
              </w:rPr>
              <w:t xml:space="preserve"> P&lt;0.001</w:t>
            </w:r>
          </w:p>
        </w:tc>
        <w:tc>
          <w:tcPr>
            <w:tcW w:w="663" w:type="dxa"/>
          </w:tcPr>
          <w:p w14:paraId="76C465B1"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3000</w:t>
            </w:r>
          </w:p>
        </w:tc>
        <w:tc>
          <w:tcPr>
            <w:tcW w:w="1148" w:type="dxa"/>
          </w:tcPr>
          <w:p w14:paraId="677E2D50" w14:textId="77777777" w:rsidR="003D1F45" w:rsidRPr="00101744" w:rsidRDefault="003D1F45" w:rsidP="00B60BB2">
            <w:pPr>
              <w:jc w:val="center"/>
              <w:rPr>
                <w:rFonts w:ascii="Arial" w:eastAsia="Times New Roman" w:hAnsi="Arial" w:cs="Arial"/>
                <w:color w:val="000000"/>
                <w:sz w:val="18"/>
                <w:szCs w:val="18"/>
                <w:lang w:val="en-US" w:eastAsia="pt-PT"/>
              </w:rPr>
            </w:pPr>
          </w:p>
        </w:tc>
      </w:tr>
      <w:tr w:rsidR="003D1F45" w:rsidRPr="00101744" w14:paraId="39A340F7" w14:textId="77777777" w:rsidTr="00B60BB2">
        <w:trPr>
          <w:trHeight w:val="300"/>
        </w:trPr>
        <w:tc>
          <w:tcPr>
            <w:tcW w:w="2269" w:type="dxa"/>
            <w:noWrap/>
            <w:hideMark/>
          </w:tcPr>
          <w:p w14:paraId="1FC1FCE7" w14:textId="6C5A20B2"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{"citationItems":[{"id":"ITEM-1","itemData":{"DOI":"10.1016/j.neuroimage.2009.01.044","ISSN":"1095-9572","PMID":"19457376","abstract":"The present study investigated the neuroanatomical basis of different solution processes in single-digit multiplication by means of fMRI. Sixteen participants silently produced the solution of three distinct types of multiplication, i.e., problems involving zero (e.g., 3*0), small (e.g., 2*4), or large operands (e.g., 8*7). Zero and small problems are assumed to be solved by rule application and fact retrieval, respectively, and problems with large operands sometimes involve backup strategies when direct retrieval is not sufficient. Small problems, when compared with a high-level baseline not requiring any kind of calculation, activated a network of parietal, subcortical, and frontal areas. This activation pattern supports the hypothesis that arithmetic fact retrieval is mediated by a verbal processing loop including the angular gyrus and the basal ganglia. Problems with larger operands showed increased activation in the anterior cingulate cortex, SMA, and the left inferior frontal gyrus, which could reflect increased conflict during the fact-retrieval process, but also higher demands for controlling and coordinating multiple processing steps when a problem cannot be solved by direct retrieval. Zero problems, in comparison to multiplications with small operands, activated the caudate nucleus and the right inferior frontal cortex, showing that rule application is separable from fact retrieval on a neuroanatomical level, too.","author":[{"dropping-particle":"","family":"Jost","given":"Kerstin","non-dropping-particle":"","parse-names":false,"suffix":""},{"dropping-particle":"","family":"Khader","given":"Patrick","non-dropping-particle":"","parse-names":false,"suffix":""},{"dropping-particle":"","family":"Burke","given":"Michael","non-dropping-particle":"","parse-names":false,"suffix":""},{"dropping-particle":"","family":"Bien","given":"Siegfried","non-dropping-particle":"","parse-names":false,"suffix":""},{"dropping-particle":"","family":"Rösler","given":"Frank","non-dropping-particle":"","parse-names":false,"suffix":""}],"container-title":"NeuroImage","id":"ITEM-1","issue":"1","issued":{"date-parts":[["2009","5","15"]]},"page":"308-18","title":"Dissociating the solution processes of small, large, and zero multiplications by means of fMRI.","type":"article-journal","volume":"46"},"uris":["http://www.mendeley.com/documents/?uuid=7ec61061-cf26-3046-ba5b-5b0d10a11bdb"]}],"mendeley":{"formattedCitation":"(Jost et al. 2009)","plainTextFormattedCitation":"(Jost et al. 2009)","previouslyFormattedCitation":"&lt;sup&gt;139&lt;/sup&gt;"},"properties":{"noteIndex":0},"schema":"https://github.com/citation-style-language/schema/raw/master/csl-citation.json"}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(Jost et al. 2009)</w:t>
            </w:r>
            <w:r w:rsidRPr="00101744">
              <w:rPr>
                <w:rFonts w:ascii="Arial" w:eastAsia="Times New Roman" w:hAnsi="Arial" w:cs="Arial"/>
                <w:color w:val="000000"/>
                <w:sz w:val="18"/>
                <w:szCs w:val="18"/>
                <w:lang w:val="en-US" w:eastAsia="pt-PT"/>
              </w:rPr>
              <w:fldChar w:fldCharType="end"/>
            </w:r>
          </w:p>
        </w:tc>
        <w:tc>
          <w:tcPr>
            <w:tcW w:w="709" w:type="dxa"/>
            <w:noWrap/>
            <w:hideMark/>
          </w:tcPr>
          <w:p w14:paraId="700FE79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16</w:t>
            </w:r>
          </w:p>
        </w:tc>
        <w:tc>
          <w:tcPr>
            <w:tcW w:w="709" w:type="dxa"/>
            <w:noWrap/>
            <w:hideMark/>
          </w:tcPr>
          <w:p w14:paraId="2D342BC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6</w:t>
            </w:r>
          </w:p>
        </w:tc>
        <w:tc>
          <w:tcPr>
            <w:tcW w:w="571" w:type="dxa"/>
            <w:noWrap/>
            <w:hideMark/>
          </w:tcPr>
          <w:p w14:paraId="45803374" w14:textId="77777777" w:rsidR="003D1F45" w:rsidRPr="00101744" w:rsidRDefault="003D1F45" w:rsidP="00B60BB2">
            <w:pPr>
              <w:jc w:val="center"/>
              <w:rPr>
                <w:rFonts w:ascii="Arial" w:eastAsia="Times New Roman" w:hAnsi="Arial" w:cs="Arial"/>
                <w:sz w:val="18"/>
                <w:szCs w:val="18"/>
                <w:lang w:val="en-US" w:eastAsia="pt-PT"/>
              </w:rPr>
            </w:pPr>
            <w:r w:rsidRPr="00101744">
              <w:rPr>
                <w:rFonts w:ascii="Arial" w:eastAsia="Times New Roman" w:hAnsi="Arial" w:cs="Arial"/>
                <w:color w:val="000000"/>
                <w:sz w:val="18"/>
                <w:szCs w:val="18"/>
                <w:lang w:val="en-US"/>
              </w:rPr>
              <w:t>10</w:t>
            </w:r>
          </w:p>
        </w:tc>
        <w:tc>
          <w:tcPr>
            <w:tcW w:w="704" w:type="dxa"/>
            <w:noWrap/>
            <w:hideMark/>
          </w:tcPr>
          <w:p w14:paraId="6242D1E3"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24,5</w:t>
            </w:r>
          </w:p>
        </w:tc>
        <w:tc>
          <w:tcPr>
            <w:tcW w:w="843" w:type="dxa"/>
            <w:noWrap/>
            <w:hideMark/>
          </w:tcPr>
          <w:p w14:paraId="387AEF1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20-30</w:t>
            </w:r>
          </w:p>
        </w:tc>
        <w:tc>
          <w:tcPr>
            <w:tcW w:w="2268" w:type="dxa"/>
            <w:gridSpan w:val="2"/>
            <w:noWrap/>
            <w:hideMark/>
          </w:tcPr>
          <w:p w14:paraId="5F34433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 (Multiplication)</w:t>
            </w:r>
          </w:p>
        </w:tc>
        <w:tc>
          <w:tcPr>
            <w:tcW w:w="708" w:type="dxa"/>
            <w:gridSpan w:val="2"/>
            <w:noWrap/>
            <w:hideMark/>
          </w:tcPr>
          <w:p w14:paraId="73027ADA"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5</w:t>
            </w:r>
          </w:p>
        </w:tc>
        <w:tc>
          <w:tcPr>
            <w:tcW w:w="1710" w:type="dxa"/>
            <w:gridSpan w:val="2"/>
          </w:tcPr>
          <w:p w14:paraId="412FE50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1.5T </w:t>
            </w:r>
            <w:proofErr w:type="spellStart"/>
            <w:r w:rsidRPr="00101744">
              <w:rPr>
                <w:rFonts w:ascii="Arial" w:eastAsia="Times New Roman" w:hAnsi="Arial" w:cs="Arial"/>
                <w:color w:val="000000"/>
                <w:sz w:val="18"/>
                <w:szCs w:val="18"/>
                <w:lang w:val="en-US"/>
              </w:rPr>
              <w:t>Signa</w:t>
            </w:r>
            <w:proofErr w:type="spellEnd"/>
            <w:r w:rsidRPr="00101744">
              <w:rPr>
                <w:rFonts w:ascii="Arial" w:eastAsia="Times New Roman" w:hAnsi="Arial" w:cs="Arial"/>
                <w:color w:val="000000"/>
                <w:sz w:val="18"/>
                <w:szCs w:val="18"/>
                <w:lang w:val="en-US"/>
              </w:rPr>
              <w:t xml:space="preserve"> GE</w:t>
            </w:r>
          </w:p>
        </w:tc>
        <w:tc>
          <w:tcPr>
            <w:tcW w:w="1064" w:type="dxa"/>
          </w:tcPr>
          <w:p w14:paraId="6572CDE8"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SPM2</w:t>
            </w:r>
          </w:p>
        </w:tc>
        <w:tc>
          <w:tcPr>
            <w:tcW w:w="1377" w:type="dxa"/>
          </w:tcPr>
          <w:p w14:paraId="0052213D"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Punc</w:t>
            </w:r>
            <w:proofErr w:type="spellEnd"/>
            <w:r w:rsidRPr="00101744">
              <w:rPr>
                <w:rFonts w:ascii="Arial" w:eastAsia="Times New Roman" w:hAnsi="Arial" w:cs="Arial"/>
                <w:color w:val="000000"/>
                <w:sz w:val="18"/>
                <w:szCs w:val="18"/>
                <w:lang w:val="en-US"/>
              </w:rPr>
              <w:t>&lt;0.001</w:t>
            </w:r>
          </w:p>
        </w:tc>
        <w:tc>
          <w:tcPr>
            <w:tcW w:w="663" w:type="dxa"/>
          </w:tcPr>
          <w:p w14:paraId="69D1E07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339D6E75"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3.75</w:t>
            </w:r>
          </w:p>
        </w:tc>
      </w:tr>
      <w:tr w:rsidR="003D1F45" w:rsidRPr="00101744" w14:paraId="6ED85644" w14:textId="77777777" w:rsidTr="00B60BB2">
        <w:trPr>
          <w:trHeight w:val="300"/>
        </w:trPr>
        <w:tc>
          <w:tcPr>
            <w:tcW w:w="2269" w:type="dxa"/>
            <w:noWrap/>
            <w:hideMark/>
          </w:tcPr>
          <w:p w14:paraId="470021FD" w14:textId="4661988E"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{"citationItems":[{"id":"ITEM-1","itemData":{"DOI":"10.1016/j.neuroimage.2009.04.042","ISSN":"1095-9572","PMID":"19376239","abstract":"Despite ongoing debate about the nature of gender differences in mathematics achievement, little is known about gender similarities and differences in mathematical cognition at the neural level. We used fMRI to compare brain responses in 25 females and 24 males during a mental arithmetic task involving 3-operand addition and subtraction. We also used voxel-based morphometry (VBM) to examine gender differences in brain structure. Although females and males did not differ in accuracy or response times (effect size d&lt;0.3), significant gender differences in functional brain activation were observed in the right dorsal and ventral visuospatial information processing streams (d&gt;1.1). Males showed greater dorsal stream activation in the right intra-parietal sulcus areas important for numerical cognition, and angular gyrus regions of the default mode network that are typically deactivated during complex cognitive tasks, as well as greater ventral stream activation in the right lingual and parahippocampal gyri. VBM revealed an opposite pattern of gender differences-compared to males, females had greater regional density and greater regional volume in dorsal and ventral stream regions where males showed greater fMRI activation. There were no brain areas where females showed greater functional activation than males, and no brain areas where males showed greater structural density or volume than females. Our findings provide evidence for gender differences in the functional and structural organization of the right hemisphere brain areas involved in mathematical cognition. Together with the lack of behavioral differences, our results point to more efficient use of neural processing resources in females.","author":[{"dropping-particle":"","family":"Keller","given":"Katherine","non-dropping-particle":"","parse-names":false,"suffix":""},{"dropping-particle":"","family":"Menon","given":"Vinod","non-dropping-particle":"","parse-names":false,"suffix":""}],"container-title":"NeuroImage","id":"ITEM-1","issue":"1","issued":{"date-parts":[["2009","8","1"]]},"page":"342-52","title":"Gender differences in the functional and structural neuroanatomy of mathematical cognition.","type":"article-journal","volume":"47"},"uris":["http://www.mendeley.com/documents/?uuid=595f854b-5dd3-3e5b-bc21-b106587f1a01"]}],"mendeley":{"formattedCitation":"(Keller and Menon 2009)","plainTextFormattedCitation":"(Keller and Menon 2009)","previouslyFormattedCitation":"&lt;sup&gt;140&lt;/sup&gt;"},"properties":{"noteIndex":0},"schema":"https://github.com/citation-style-language/schema/raw/master/csl-citation.json"}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(Keller and Menon 2009)</w:t>
            </w:r>
            <w:r w:rsidRPr="00101744">
              <w:rPr>
                <w:rFonts w:ascii="Arial" w:eastAsia="Times New Roman" w:hAnsi="Arial" w:cs="Arial"/>
                <w:color w:val="000000"/>
                <w:sz w:val="18"/>
                <w:szCs w:val="18"/>
                <w:lang w:val="en-US" w:eastAsia="pt-PT"/>
              </w:rPr>
              <w:fldChar w:fldCharType="end"/>
            </w:r>
          </w:p>
        </w:tc>
        <w:tc>
          <w:tcPr>
            <w:tcW w:w="709" w:type="dxa"/>
            <w:noWrap/>
            <w:hideMark/>
          </w:tcPr>
          <w:p w14:paraId="6B24D41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49</w:t>
            </w:r>
          </w:p>
        </w:tc>
        <w:tc>
          <w:tcPr>
            <w:tcW w:w="709" w:type="dxa"/>
            <w:noWrap/>
            <w:hideMark/>
          </w:tcPr>
          <w:p w14:paraId="7EE8F60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24</w:t>
            </w:r>
          </w:p>
        </w:tc>
        <w:tc>
          <w:tcPr>
            <w:tcW w:w="571" w:type="dxa"/>
            <w:noWrap/>
            <w:hideMark/>
          </w:tcPr>
          <w:p w14:paraId="4A345B6A" w14:textId="77777777" w:rsidR="003D1F45" w:rsidRPr="00101744" w:rsidRDefault="003D1F45" w:rsidP="00B60BB2">
            <w:pPr>
              <w:jc w:val="center"/>
              <w:rPr>
                <w:rFonts w:ascii="Arial" w:eastAsia="Times New Roman" w:hAnsi="Arial" w:cs="Arial"/>
                <w:sz w:val="18"/>
                <w:szCs w:val="18"/>
                <w:lang w:val="en-US" w:eastAsia="pt-PT"/>
              </w:rPr>
            </w:pPr>
            <w:r w:rsidRPr="00101744">
              <w:rPr>
                <w:rFonts w:ascii="Arial" w:eastAsia="Times New Roman" w:hAnsi="Arial" w:cs="Arial"/>
                <w:color w:val="000000"/>
                <w:sz w:val="18"/>
                <w:szCs w:val="18"/>
                <w:lang w:val="en-US"/>
              </w:rPr>
              <w:t>25</w:t>
            </w:r>
          </w:p>
        </w:tc>
        <w:tc>
          <w:tcPr>
            <w:tcW w:w="704" w:type="dxa"/>
            <w:noWrap/>
            <w:hideMark/>
          </w:tcPr>
          <w:p w14:paraId="55A3D3B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23.99</w:t>
            </w:r>
          </w:p>
        </w:tc>
        <w:tc>
          <w:tcPr>
            <w:tcW w:w="843" w:type="dxa"/>
            <w:noWrap/>
            <w:hideMark/>
          </w:tcPr>
          <w:p w14:paraId="08FED88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18-36</w:t>
            </w:r>
          </w:p>
        </w:tc>
        <w:tc>
          <w:tcPr>
            <w:tcW w:w="2268" w:type="dxa"/>
            <w:gridSpan w:val="2"/>
            <w:noWrap/>
            <w:hideMark/>
          </w:tcPr>
          <w:p w14:paraId="33C53E82"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w:t>
            </w:r>
          </w:p>
        </w:tc>
        <w:tc>
          <w:tcPr>
            <w:tcW w:w="708" w:type="dxa"/>
            <w:gridSpan w:val="2"/>
            <w:noWrap/>
            <w:hideMark/>
          </w:tcPr>
          <w:p w14:paraId="30FBD30D"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9</w:t>
            </w:r>
          </w:p>
        </w:tc>
        <w:tc>
          <w:tcPr>
            <w:tcW w:w="1710" w:type="dxa"/>
            <w:gridSpan w:val="2"/>
          </w:tcPr>
          <w:p w14:paraId="47DC5AA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3T </w:t>
            </w:r>
            <w:proofErr w:type="spellStart"/>
            <w:r w:rsidRPr="00101744">
              <w:rPr>
                <w:rFonts w:ascii="Arial" w:eastAsia="Times New Roman" w:hAnsi="Arial" w:cs="Arial"/>
                <w:color w:val="000000"/>
                <w:sz w:val="18"/>
                <w:szCs w:val="18"/>
                <w:lang w:val="en-US"/>
              </w:rPr>
              <w:t>Signa</w:t>
            </w:r>
            <w:proofErr w:type="spellEnd"/>
            <w:r w:rsidRPr="00101744">
              <w:rPr>
                <w:rFonts w:ascii="Arial" w:eastAsia="Times New Roman" w:hAnsi="Arial" w:cs="Arial"/>
                <w:color w:val="000000"/>
                <w:sz w:val="18"/>
                <w:szCs w:val="18"/>
                <w:lang w:val="en-US"/>
              </w:rPr>
              <w:t xml:space="preserve"> GE</w:t>
            </w:r>
          </w:p>
        </w:tc>
        <w:tc>
          <w:tcPr>
            <w:tcW w:w="1064" w:type="dxa"/>
          </w:tcPr>
          <w:p w14:paraId="6B8FD7EB"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SPM5</w:t>
            </w:r>
          </w:p>
        </w:tc>
        <w:tc>
          <w:tcPr>
            <w:tcW w:w="1377" w:type="dxa"/>
          </w:tcPr>
          <w:p w14:paraId="085B453D" w14:textId="77777777" w:rsidR="003D1F45" w:rsidRPr="00101744" w:rsidRDefault="003D1F45" w:rsidP="00B60BB2">
            <w:pPr>
              <w:jc w:val="center"/>
              <w:rPr>
                <w:rFonts w:ascii="Arial" w:eastAsia="Times New Roman" w:hAnsi="Arial" w:cs="Arial"/>
                <w:color w:val="000000"/>
                <w:sz w:val="18"/>
                <w:szCs w:val="18"/>
                <w:lang w:val="en-US" w:eastAsia="pt-PT"/>
              </w:rPr>
            </w:pPr>
            <w:proofErr w:type="spellStart"/>
            <w:r w:rsidRPr="00101744">
              <w:rPr>
                <w:rFonts w:ascii="Arial" w:eastAsia="Times New Roman" w:hAnsi="Arial" w:cs="Arial"/>
                <w:color w:val="000000"/>
                <w:sz w:val="18"/>
                <w:szCs w:val="18"/>
                <w:lang w:val="en-US"/>
              </w:rPr>
              <w:t>Pclust</w:t>
            </w:r>
            <w:proofErr w:type="spellEnd"/>
            <w:r w:rsidRPr="00101744">
              <w:rPr>
                <w:rFonts w:ascii="Arial" w:eastAsia="Times New Roman" w:hAnsi="Arial" w:cs="Arial"/>
                <w:color w:val="000000"/>
                <w:sz w:val="18"/>
                <w:szCs w:val="18"/>
                <w:lang w:val="en-US"/>
              </w:rPr>
              <w:t>&lt;0.01</w:t>
            </w:r>
          </w:p>
        </w:tc>
        <w:tc>
          <w:tcPr>
            <w:tcW w:w="663" w:type="dxa"/>
          </w:tcPr>
          <w:p w14:paraId="307BFA2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2000</w:t>
            </w:r>
          </w:p>
        </w:tc>
        <w:tc>
          <w:tcPr>
            <w:tcW w:w="1148" w:type="dxa"/>
          </w:tcPr>
          <w:p w14:paraId="1F3928A0"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3.125</w:t>
            </w:r>
          </w:p>
        </w:tc>
      </w:tr>
      <w:tr w:rsidR="003D1F45" w:rsidRPr="00101744" w14:paraId="274A0B7C" w14:textId="77777777" w:rsidTr="00B60BB2">
        <w:trPr>
          <w:trHeight w:val="300"/>
        </w:trPr>
        <w:tc>
          <w:tcPr>
            <w:tcW w:w="2269" w:type="dxa"/>
            <w:noWrap/>
            <w:hideMark/>
          </w:tcPr>
          <w:p w14:paraId="7C726E3A" w14:textId="60BACD46" w:rsidR="003D1F45" w:rsidRPr="00101744" w:rsidRDefault="003D1F45" w:rsidP="00C14016">
            <w:pP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eastAsia="pt-PT"/>
              </w:rPr>
              <w:fldChar w:fldCharType="begin" w:fldLock="1"/>
            </w:r>
            <w:r w:rsidR="00C14016">
              <w:rPr>
                <w:rFonts w:ascii="Arial" w:hAnsi="Arial" w:cs="Arial"/>
                <w:color w:val="000000"/>
                <w:sz w:val="18"/>
                <w:szCs w:val="18"/>
                <w:lang w:eastAsia="pt-PT"/>
              </w:rPr>
              <w:instrText>ADDIN CSL_CITATION {"citationItems":[{"id":"ITEM-1","itemData":{"DOI":"10.1016/j.neuroimage.2010.11.009","ISSN":"1095-9572","PMID":"21073958","abstract":"Although several parietal areas are known to be involved in number processing, their possible role in arithmetic operations remains debated. It has been hypothesized that the horizontal segment of the intraparietal sulcus (hIPS) and the posterior superior parietal lobule (PSPL) contribute to operations solved by calculation procedures, such as subtraction, but whether these areas are also involved in operations solved by memory retrieval, such as multiplication, is controversial. In the present study, we first identified the parietal areas involved in subtraction and multiplication by means of functional magnetic resonance imaging (fMRI) and we found an increased activation, bilaterally, in the hIPS and PSPL during both arithmetic operations. In order to test whether these areas are causally involved in subtraction and multiplication, we used transcranial magnetic stimulation (TMS) to create, in each participant, a virtual lesion of either the hIPS or PSPL, over the sites corresponding to the peaks of activation gathered in fMRI. When compared to a control site, we found an increase in response latencies in both operations after a virtual lesion of either the left or right hIPS, but not of the PSPL. Moreover, TMS over the hIPS increased the error rate in the multiplication task. The present results indicate that even operations solved by memory retrieval, such as multiplication, rely on the hIPS. In contrast, the PSPL seems to underlie processes that are nonessential to solve basic subtraction and multiplication problems.","author":[{"dropping-particle":"","family":"Andres","given":"Michael","non-dropping-particle":"","parse-names":false,"suffix":""},{"dropping-particle":"","family":"Pelgrims","given":"Barbara","non-dropping-particle":"","parse-names":false,"suffix":""},{"dropping-particle":"","family":"Michaux","given":"Nicolas","non-dropping-particle":"","parse-names":false,"suffix":""},{"dropping-particle":"","family":"Olivier","given":"Etienne","non-dropping-particle":"","parse-names":false,"suffix":""},{"dropping-particle":"","family":"Pesenti","given":"Mauro","non-dropping-particle":"","parse-names":false,"suffix":""}],"container-title":"NeuroImage","id":"ITEM-1","issue":"4","issued":{"date-parts":[["2011","2","14"]]},"page":"3048-56","title":"Role of distinct parietal areas in arithmetic: an fMRI-guided TMS study.","type":"article-journal","volume":"54"},"uris":["http://www.mendeley.com/documents/?uuid=2eb395ba-1e32-3cd5-9386-8272017c36bb"]}],"mendeley":{"formattedCitation":"(Andres et al. 2011)","plainTextFormattedCitation":"(Andres et al. 2011)","previouslyFormattedCitation":"&lt;sup&gt;141&lt;/sup&gt;"},"properties":{"noteIndex":0},"schema":"https://github.com/citation-style-language/schema/raw/master/csl-citation.json"}</w:instrText>
            </w:r>
            <w:r w:rsidRPr="00101744">
              <w:rPr>
                <w:rFonts w:ascii="Arial" w:eastAsia="Times New Roman" w:hAnsi="Arial" w:cs="Arial"/>
                <w:color w:val="000000"/>
                <w:sz w:val="18"/>
                <w:szCs w:val="18"/>
                <w:lang w:val="en-US" w:eastAsia="pt-PT"/>
              </w:rPr>
              <w:fldChar w:fldCharType="separate"/>
            </w:r>
            <w:r w:rsidR="00C14016" w:rsidRPr="00C14016">
              <w:rPr>
                <w:rFonts w:ascii="Arial" w:hAnsi="Arial" w:cs="Arial"/>
                <w:noProof/>
                <w:color w:val="000000"/>
                <w:sz w:val="18"/>
                <w:szCs w:val="18"/>
                <w:lang w:eastAsia="pt-PT"/>
              </w:rPr>
              <w:t>(Andres et al. 2011)</w:t>
            </w:r>
            <w:r w:rsidRPr="00101744">
              <w:rPr>
                <w:rFonts w:ascii="Arial" w:eastAsia="Times New Roman" w:hAnsi="Arial" w:cs="Arial"/>
                <w:color w:val="000000"/>
                <w:sz w:val="18"/>
                <w:szCs w:val="18"/>
                <w:lang w:val="en-US" w:eastAsia="pt-PT"/>
              </w:rPr>
              <w:fldChar w:fldCharType="end"/>
            </w:r>
          </w:p>
        </w:tc>
        <w:tc>
          <w:tcPr>
            <w:tcW w:w="709" w:type="dxa"/>
            <w:noWrap/>
            <w:hideMark/>
          </w:tcPr>
          <w:p w14:paraId="4CFBAD4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709" w:type="dxa"/>
            <w:noWrap/>
            <w:hideMark/>
          </w:tcPr>
          <w:p w14:paraId="6E32EFD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10</w:t>
            </w:r>
          </w:p>
        </w:tc>
        <w:tc>
          <w:tcPr>
            <w:tcW w:w="571" w:type="dxa"/>
            <w:noWrap/>
            <w:hideMark/>
          </w:tcPr>
          <w:p w14:paraId="332787F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0</w:t>
            </w:r>
          </w:p>
        </w:tc>
        <w:tc>
          <w:tcPr>
            <w:tcW w:w="704" w:type="dxa"/>
            <w:noWrap/>
            <w:hideMark/>
          </w:tcPr>
          <w:p w14:paraId="0E97AA3C"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21</w:t>
            </w:r>
          </w:p>
        </w:tc>
        <w:tc>
          <w:tcPr>
            <w:tcW w:w="843" w:type="dxa"/>
            <w:noWrap/>
            <w:hideMark/>
          </w:tcPr>
          <w:p w14:paraId="6B6A664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19-23</w:t>
            </w:r>
          </w:p>
        </w:tc>
        <w:tc>
          <w:tcPr>
            <w:tcW w:w="2268" w:type="dxa"/>
            <w:gridSpan w:val="2"/>
            <w:noWrap/>
            <w:hideMark/>
          </w:tcPr>
          <w:p w14:paraId="6BE3CC7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Calculation (Multiplication and Subtraction)</w:t>
            </w:r>
          </w:p>
        </w:tc>
        <w:tc>
          <w:tcPr>
            <w:tcW w:w="708" w:type="dxa"/>
            <w:gridSpan w:val="2"/>
            <w:noWrap/>
            <w:hideMark/>
          </w:tcPr>
          <w:p w14:paraId="1D282DD4"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8</w:t>
            </w:r>
          </w:p>
        </w:tc>
        <w:tc>
          <w:tcPr>
            <w:tcW w:w="1710" w:type="dxa"/>
            <w:gridSpan w:val="2"/>
          </w:tcPr>
          <w:p w14:paraId="2972D8D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 xml:space="preserve">3T </w:t>
            </w:r>
            <w:proofErr w:type="spellStart"/>
            <w:r w:rsidRPr="00101744">
              <w:rPr>
                <w:rFonts w:ascii="Arial" w:eastAsia="Times New Roman" w:hAnsi="Arial" w:cs="Arial"/>
                <w:color w:val="000000"/>
                <w:sz w:val="18"/>
                <w:szCs w:val="18"/>
                <w:lang w:val="en-US"/>
              </w:rPr>
              <w:t>Achieva</w:t>
            </w:r>
            <w:proofErr w:type="spellEnd"/>
            <w:r w:rsidRPr="00101744">
              <w:rPr>
                <w:rFonts w:ascii="Arial" w:eastAsia="Times New Roman" w:hAnsi="Arial" w:cs="Arial"/>
                <w:color w:val="000000"/>
                <w:sz w:val="18"/>
                <w:szCs w:val="18"/>
                <w:lang w:val="en-US"/>
              </w:rPr>
              <w:t xml:space="preserve"> Philips</w:t>
            </w:r>
          </w:p>
        </w:tc>
        <w:tc>
          <w:tcPr>
            <w:tcW w:w="1064" w:type="dxa"/>
          </w:tcPr>
          <w:p w14:paraId="35F553C6"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SPM2</w:t>
            </w:r>
          </w:p>
        </w:tc>
        <w:tc>
          <w:tcPr>
            <w:tcW w:w="1377" w:type="dxa"/>
          </w:tcPr>
          <w:p w14:paraId="1F9B9817"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P(FWE)&lt;0.05</w:t>
            </w:r>
          </w:p>
        </w:tc>
        <w:tc>
          <w:tcPr>
            <w:tcW w:w="663" w:type="dxa"/>
          </w:tcPr>
          <w:p w14:paraId="2F2676EF"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2500</w:t>
            </w:r>
          </w:p>
        </w:tc>
        <w:tc>
          <w:tcPr>
            <w:tcW w:w="1148" w:type="dxa"/>
          </w:tcPr>
          <w:p w14:paraId="71AD7AB9" w14:textId="77777777" w:rsidR="003D1F45" w:rsidRPr="00101744" w:rsidRDefault="003D1F45" w:rsidP="00B60BB2">
            <w:pPr>
              <w:jc w:val="center"/>
              <w:rPr>
                <w:rFonts w:ascii="Arial" w:eastAsia="Times New Roman" w:hAnsi="Arial" w:cs="Arial"/>
                <w:color w:val="000000"/>
                <w:sz w:val="18"/>
                <w:szCs w:val="18"/>
                <w:lang w:val="en-US" w:eastAsia="pt-PT"/>
              </w:rPr>
            </w:pPr>
            <w:r w:rsidRPr="00101744">
              <w:rPr>
                <w:rFonts w:ascii="Arial" w:eastAsia="Times New Roman" w:hAnsi="Arial" w:cs="Arial"/>
                <w:color w:val="000000"/>
                <w:sz w:val="18"/>
                <w:szCs w:val="18"/>
                <w:lang w:val="en-US"/>
              </w:rPr>
              <w:t>3.5</w:t>
            </w:r>
          </w:p>
        </w:tc>
      </w:tr>
      <w:tr w:rsidR="003D1F45" w:rsidRPr="00101744" w14:paraId="58017134" w14:textId="77777777" w:rsidTr="00B60BB2">
        <w:trPr>
          <w:trHeight w:val="300"/>
        </w:trPr>
        <w:tc>
          <w:tcPr>
            <w:tcW w:w="14743" w:type="dxa"/>
            <w:gridSpan w:val="16"/>
            <w:noWrap/>
          </w:tcPr>
          <w:p w14:paraId="5EA76CAF" w14:textId="77777777" w:rsidR="003D1F45" w:rsidRPr="00101744" w:rsidRDefault="003D1F45" w:rsidP="00B60BB2">
            <w:pPr>
              <w:rPr>
                <w:rFonts w:ascii="Arial" w:eastAsia="Times New Roman" w:hAnsi="Arial" w:cs="Arial"/>
                <w:color w:val="000000"/>
                <w:sz w:val="18"/>
                <w:szCs w:val="18"/>
                <w:lang w:val="en-US"/>
              </w:rPr>
            </w:pPr>
            <w:proofErr w:type="spellStart"/>
            <w:r w:rsidRPr="00101744">
              <w:rPr>
                <w:rFonts w:ascii="Arial" w:eastAsia="Times New Roman" w:hAnsi="Arial" w:cs="Arial"/>
                <w:sz w:val="18"/>
                <w:szCs w:val="18"/>
                <w:lang w:val="en-US" w:eastAsia="pt-PT"/>
              </w:rPr>
              <w:t>Punc</w:t>
            </w:r>
            <w:proofErr w:type="spellEnd"/>
            <w:r w:rsidRPr="00101744">
              <w:rPr>
                <w:rFonts w:ascii="Arial" w:eastAsia="Times New Roman" w:hAnsi="Arial" w:cs="Arial"/>
                <w:sz w:val="18"/>
                <w:szCs w:val="18"/>
                <w:lang w:val="en-US" w:eastAsia="pt-PT"/>
              </w:rPr>
              <w:t xml:space="preserve">: P value uncorrected; </w:t>
            </w:r>
            <w:proofErr w:type="spellStart"/>
            <w:r w:rsidRPr="00101744">
              <w:rPr>
                <w:rFonts w:ascii="Arial" w:eastAsia="Times New Roman" w:hAnsi="Arial" w:cs="Arial"/>
                <w:sz w:val="18"/>
                <w:szCs w:val="18"/>
                <w:lang w:val="en-US" w:eastAsia="pt-PT"/>
              </w:rPr>
              <w:t>Pcorr</w:t>
            </w:r>
            <w:proofErr w:type="spellEnd"/>
            <w:r w:rsidRPr="00101744">
              <w:rPr>
                <w:rFonts w:ascii="Arial" w:eastAsia="Times New Roman" w:hAnsi="Arial" w:cs="Arial"/>
                <w:sz w:val="18"/>
                <w:szCs w:val="18"/>
                <w:lang w:val="en-US" w:eastAsia="pt-PT"/>
              </w:rPr>
              <w:t xml:space="preserve">: P value corrected for multiple comparisons; M: Male; F: Female; </w:t>
            </w:r>
          </w:p>
        </w:tc>
      </w:tr>
    </w:tbl>
    <w:p w14:paraId="32127A58" w14:textId="77777777" w:rsidR="00101744" w:rsidRPr="003D1F45" w:rsidRDefault="00101744" w:rsidP="00101744">
      <w:pPr>
        <w:spacing w:line="480" w:lineRule="auto"/>
        <w:rPr>
          <w:rFonts w:ascii="Arial" w:eastAsia="Calibri" w:hAnsi="Arial" w:cs="Arial"/>
          <w:b/>
          <w:color w:val="000000"/>
          <w:sz w:val="20"/>
          <w:szCs w:val="20"/>
        </w:rPr>
      </w:pPr>
    </w:p>
    <w:p w14:paraId="09EC537F" w14:textId="77777777" w:rsidR="00101744" w:rsidRPr="00101744" w:rsidRDefault="00101744" w:rsidP="00101744">
      <w:pPr>
        <w:autoSpaceDE w:val="0"/>
        <w:autoSpaceDN w:val="0"/>
        <w:spacing w:line="480" w:lineRule="auto"/>
        <w:ind w:right="-6"/>
        <w:rPr>
          <w:rFonts w:ascii="Arial" w:eastAsia="Calibri" w:hAnsi="Arial" w:cs="Arial"/>
          <w:b/>
          <w:color w:val="000000"/>
          <w:sz w:val="20"/>
          <w:szCs w:val="20"/>
          <w:lang w:val="en-US"/>
        </w:rPr>
      </w:pPr>
      <w:r w:rsidRPr="00101744">
        <w:rPr>
          <w:rFonts w:ascii="Arial" w:eastAsia="Calibri" w:hAnsi="Arial" w:cs="Arial"/>
          <w:b/>
          <w:color w:val="000000"/>
          <w:sz w:val="20"/>
          <w:szCs w:val="20"/>
          <w:lang w:val="en-US"/>
        </w:rPr>
        <w:br w:type="page"/>
      </w:r>
    </w:p>
    <w:p w14:paraId="4A4BEB3B" w14:textId="10B78B1D" w:rsidR="00101744" w:rsidRPr="00101744" w:rsidRDefault="00101744" w:rsidP="00101744">
      <w:pPr>
        <w:autoSpaceDE w:val="0"/>
        <w:autoSpaceDN w:val="0"/>
        <w:spacing w:line="480" w:lineRule="auto"/>
        <w:ind w:right="-6"/>
        <w:rPr>
          <w:rFonts w:ascii="Arial" w:eastAsia="Calibri" w:hAnsi="Arial" w:cs="Arial"/>
          <w:b/>
          <w:color w:val="000000"/>
          <w:sz w:val="20"/>
          <w:szCs w:val="20"/>
          <w:lang w:val="en-US"/>
        </w:rPr>
      </w:pPr>
      <w:r w:rsidRPr="00101744">
        <w:rPr>
          <w:rFonts w:ascii="Arial" w:eastAsia="Calibri" w:hAnsi="Arial" w:cs="Arial"/>
          <w:b/>
          <w:color w:val="000000"/>
          <w:sz w:val="20"/>
          <w:szCs w:val="20"/>
          <w:lang w:val="en-US"/>
        </w:rPr>
        <w:lastRenderedPageBreak/>
        <w:t>Table A3. Major Activation likelihood est</w:t>
      </w:r>
      <w:r w:rsidR="003919C6">
        <w:rPr>
          <w:rFonts w:ascii="Arial" w:eastAsia="Calibri" w:hAnsi="Arial" w:cs="Arial"/>
          <w:b/>
          <w:color w:val="000000"/>
          <w:sz w:val="20"/>
          <w:szCs w:val="20"/>
          <w:lang w:val="en-US"/>
        </w:rPr>
        <w:t xml:space="preserve">imation results for the reading, </w:t>
      </w:r>
      <w:r w:rsidRPr="00101744">
        <w:rPr>
          <w:rFonts w:ascii="Arial" w:eastAsia="Calibri" w:hAnsi="Arial" w:cs="Arial"/>
          <w:b/>
          <w:color w:val="000000"/>
          <w:sz w:val="20"/>
          <w:szCs w:val="20"/>
          <w:lang w:val="en-US"/>
        </w:rPr>
        <w:t>calculation</w:t>
      </w:r>
      <w:r w:rsidR="003919C6">
        <w:rPr>
          <w:rFonts w:ascii="Arial" w:eastAsia="Calibri" w:hAnsi="Arial" w:cs="Arial"/>
          <w:b/>
          <w:color w:val="000000"/>
          <w:sz w:val="20"/>
          <w:szCs w:val="20"/>
          <w:lang w:val="en-US"/>
        </w:rPr>
        <w:t xml:space="preserve"> and programming</w:t>
      </w:r>
      <w:r w:rsidRPr="00101744">
        <w:rPr>
          <w:rFonts w:ascii="Arial" w:eastAsia="Calibri" w:hAnsi="Arial" w:cs="Arial"/>
          <w:b/>
          <w:color w:val="000000"/>
          <w:sz w:val="20"/>
          <w:szCs w:val="20"/>
          <w:lang w:val="en-US"/>
        </w:rPr>
        <w:t xml:space="preserve"> tasks separate analysis.</w:t>
      </w:r>
    </w:p>
    <w:tbl>
      <w:tblPr>
        <w:tblW w:w="13056" w:type="dxa"/>
        <w:tblLook w:val="04A0" w:firstRow="1" w:lastRow="0" w:firstColumn="1" w:lastColumn="0" w:noHBand="0" w:noVBand="1"/>
      </w:tblPr>
      <w:tblGrid>
        <w:gridCol w:w="3340"/>
        <w:gridCol w:w="858"/>
        <w:gridCol w:w="900"/>
        <w:gridCol w:w="851"/>
        <w:gridCol w:w="850"/>
        <w:gridCol w:w="1387"/>
        <w:gridCol w:w="704"/>
        <w:gridCol w:w="1170"/>
        <w:gridCol w:w="2523"/>
        <w:gridCol w:w="473"/>
      </w:tblGrid>
      <w:tr w:rsidR="00502F34" w:rsidRPr="00502F34" w14:paraId="6E78BAC7" w14:textId="77777777" w:rsidTr="00502F34">
        <w:trPr>
          <w:trHeight w:val="288"/>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6D592" w14:textId="77777777" w:rsidR="00502F34" w:rsidRPr="00502F34" w:rsidRDefault="00502F34" w:rsidP="00502F34">
            <w:pPr>
              <w:rPr>
                <w:rFonts w:ascii="Calibri" w:eastAsia="Times New Roman" w:hAnsi="Calibri" w:cs="Calibri"/>
                <w:b/>
                <w:bCs/>
                <w:color w:val="000000"/>
                <w:sz w:val="22"/>
                <w:szCs w:val="22"/>
                <w:lang w:eastAsia="en-GB"/>
              </w:rPr>
            </w:pPr>
            <w:r w:rsidRPr="00502F34">
              <w:rPr>
                <w:rFonts w:ascii="Calibri" w:eastAsia="Times New Roman" w:hAnsi="Calibri" w:cs="Calibri"/>
                <w:b/>
                <w:bCs/>
                <w:color w:val="000000"/>
                <w:sz w:val="22"/>
                <w:szCs w:val="22"/>
                <w:lang w:eastAsia="en-GB"/>
              </w:rPr>
              <w:t>Task</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248C0973" w14:textId="77777777" w:rsidR="00502F34" w:rsidRPr="00502F34" w:rsidRDefault="00502F34" w:rsidP="00502F34">
            <w:pPr>
              <w:jc w:val="center"/>
              <w:rPr>
                <w:rFonts w:ascii="Calibri" w:eastAsia="Times New Roman" w:hAnsi="Calibri" w:cs="Calibri"/>
                <w:b/>
                <w:bCs/>
                <w:color w:val="000000"/>
                <w:sz w:val="22"/>
                <w:szCs w:val="22"/>
                <w:lang w:eastAsia="en-GB"/>
              </w:rPr>
            </w:pPr>
            <w:r w:rsidRPr="00502F34">
              <w:rPr>
                <w:rFonts w:ascii="Calibri" w:eastAsia="Times New Roman" w:hAnsi="Calibri" w:cs="Calibri"/>
                <w:b/>
                <w:bCs/>
                <w:color w:val="000000"/>
                <w:sz w:val="22"/>
                <w:szCs w:val="22"/>
                <w:lang w:eastAsia="en-GB"/>
              </w:rPr>
              <w:t>Cluster</w:t>
            </w:r>
          </w:p>
        </w:tc>
        <w:tc>
          <w:tcPr>
            <w:tcW w:w="260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B53383A" w14:textId="77777777" w:rsidR="00502F34" w:rsidRPr="00502F34" w:rsidRDefault="00502F34" w:rsidP="00502F34">
            <w:pPr>
              <w:jc w:val="center"/>
              <w:rPr>
                <w:rFonts w:ascii="Calibri" w:eastAsia="Times New Roman" w:hAnsi="Calibri" w:cs="Calibri"/>
                <w:b/>
                <w:bCs/>
                <w:color w:val="000000"/>
                <w:sz w:val="22"/>
                <w:szCs w:val="22"/>
                <w:lang w:eastAsia="en-GB"/>
              </w:rPr>
            </w:pPr>
            <w:r w:rsidRPr="00502F34">
              <w:rPr>
                <w:rFonts w:ascii="Calibri" w:eastAsia="Times New Roman" w:hAnsi="Calibri" w:cs="Calibri"/>
                <w:b/>
                <w:bCs/>
                <w:color w:val="000000"/>
                <w:sz w:val="22"/>
                <w:szCs w:val="22"/>
                <w:lang w:eastAsia="en-GB"/>
              </w:rPr>
              <w:t xml:space="preserve">Peak </w:t>
            </w:r>
            <w:proofErr w:type="spellStart"/>
            <w:r w:rsidRPr="00502F34">
              <w:rPr>
                <w:rFonts w:ascii="Calibri" w:eastAsia="Times New Roman" w:hAnsi="Calibri" w:cs="Calibri"/>
                <w:b/>
                <w:bCs/>
                <w:color w:val="000000"/>
                <w:sz w:val="22"/>
                <w:szCs w:val="22"/>
                <w:lang w:eastAsia="en-GB"/>
              </w:rPr>
              <w:t>coords</w:t>
            </w:r>
            <w:proofErr w:type="spellEnd"/>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14:paraId="32A0CC6F" w14:textId="77777777" w:rsidR="00502F34" w:rsidRPr="00502F34" w:rsidRDefault="00502F34" w:rsidP="00502F34">
            <w:pPr>
              <w:jc w:val="center"/>
              <w:rPr>
                <w:rFonts w:ascii="Calibri" w:eastAsia="Times New Roman" w:hAnsi="Calibri" w:cs="Calibri"/>
                <w:b/>
                <w:bCs/>
                <w:color w:val="000000"/>
                <w:sz w:val="22"/>
                <w:szCs w:val="22"/>
                <w:lang w:eastAsia="en-GB"/>
              </w:rPr>
            </w:pPr>
            <w:r w:rsidRPr="00502F34">
              <w:rPr>
                <w:rFonts w:ascii="Calibri" w:eastAsia="Times New Roman" w:hAnsi="Calibri" w:cs="Calibri"/>
                <w:b/>
                <w:bCs/>
                <w:color w:val="000000"/>
                <w:sz w:val="22"/>
                <w:szCs w:val="22"/>
                <w:lang w:eastAsia="en-GB"/>
              </w:rPr>
              <w:t>ALE</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14:paraId="5DCF7D1D" w14:textId="77777777" w:rsidR="00502F34" w:rsidRPr="00502F34" w:rsidRDefault="00502F34" w:rsidP="00502F34">
            <w:pPr>
              <w:rPr>
                <w:rFonts w:ascii="Calibri" w:eastAsia="Times New Roman" w:hAnsi="Calibri" w:cs="Calibri"/>
                <w:b/>
                <w:bCs/>
                <w:color w:val="000000"/>
                <w:sz w:val="22"/>
                <w:szCs w:val="22"/>
                <w:lang w:eastAsia="en-GB"/>
              </w:rPr>
            </w:pPr>
            <w:r w:rsidRPr="00502F34">
              <w:rPr>
                <w:rFonts w:ascii="Calibri" w:eastAsia="Times New Roman" w:hAnsi="Calibri" w:cs="Calibri"/>
                <w:b/>
                <w:bCs/>
                <w:color w:val="000000"/>
                <w:sz w:val="22"/>
                <w:szCs w:val="22"/>
                <w:lang w:eastAsia="en-GB"/>
              </w:rPr>
              <w:t>Hem.</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7BFFA39D" w14:textId="77777777" w:rsidR="00502F34" w:rsidRPr="00502F34" w:rsidRDefault="00502F34" w:rsidP="00502F34">
            <w:pPr>
              <w:rPr>
                <w:rFonts w:ascii="Calibri" w:eastAsia="Times New Roman" w:hAnsi="Calibri" w:cs="Calibri"/>
                <w:b/>
                <w:bCs/>
                <w:color w:val="000000"/>
                <w:sz w:val="22"/>
                <w:szCs w:val="22"/>
                <w:lang w:eastAsia="en-GB"/>
              </w:rPr>
            </w:pPr>
            <w:r w:rsidRPr="00502F34">
              <w:rPr>
                <w:rFonts w:ascii="Calibri" w:eastAsia="Times New Roman" w:hAnsi="Calibri" w:cs="Calibri"/>
                <w:b/>
                <w:bCs/>
                <w:color w:val="000000"/>
                <w:sz w:val="22"/>
                <w:szCs w:val="22"/>
                <w:lang w:eastAsia="en-GB"/>
              </w:rPr>
              <w:t>Lobe</w:t>
            </w:r>
          </w:p>
        </w:tc>
        <w:tc>
          <w:tcPr>
            <w:tcW w:w="2523" w:type="dxa"/>
            <w:tcBorders>
              <w:top w:val="single" w:sz="4" w:space="0" w:color="auto"/>
              <w:left w:val="nil"/>
              <w:bottom w:val="single" w:sz="4" w:space="0" w:color="auto"/>
              <w:right w:val="single" w:sz="4" w:space="0" w:color="auto"/>
            </w:tcBorders>
            <w:shd w:val="clear" w:color="auto" w:fill="auto"/>
            <w:noWrap/>
            <w:vAlign w:val="bottom"/>
            <w:hideMark/>
          </w:tcPr>
          <w:p w14:paraId="1934B553" w14:textId="77777777" w:rsidR="00502F34" w:rsidRPr="00502F34" w:rsidRDefault="00502F34" w:rsidP="00502F34">
            <w:pPr>
              <w:rPr>
                <w:rFonts w:ascii="Calibri" w:eastAsia="Times New Roman" w:hAnsi="Calibri" w:cs="Calibri"/>
                <w:b/>
                <w:bCs/>
                <w:color w:val="000000"/>
                <w:sz w:val="22"/>
                <w:szCs w:val="22"/>
                <w:lang w:eastAsia="en-GB"/>
              </w:rPr>
            </w:pPr>
            <w:r w:rsidRPr="00502F34">
              <w:rPr>
                <w:rFonts w:ascii="Calibri" w:eastAsia="Times New Roman" w:hAnsi="Calibri" w:cs="Calibri"/>
                <w:b/>
                <w:bCs/>
                <w:color w:val="000000"/>
                <w:sz w:val="22"/>
                <w:szCs w:val="22"/>
                <w:lang w:eastAsia="en-GB"/>
              </w:rPr>
              <w:t>Region</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161CEB3A" w14:textId="77777777" w:rsidR="00502F34" w:rsidRPr="00502F34" w:rsidRDefault="00502F34" w:rsidP="00502F34">
            <w:pPr>
              <w:jc w:val="center"/>
              <w:rPr>
                <w:rFonts w:ascii="Calibri" w:eastAsia="Times New Roman" w:hAnsi="Calibri" w:cs="Calibri"/>
                <w:b/>
                <w:bCs/>
                <w:color w:val="000000"/>
                <w:sz w:val="22"/>
                <w:szCs w:val="22"/>
                <w:lang w:eastAsia="en-GB"/>
              </w:rPr>
            </w:pPr>
            <w:r w:rsidRPr="00502F34">
              <w:rPr>
                <w:rFonts w:ascii="Calibri" w:eastAsia="Times New Roman" w:hAnsi="Calibri" w:cs="Calibri"/>
                <w:b/>
                <w:bCs/>
                <w:color w:val="000000"/>
                <w:sz w:val="22"/>
                <w:szCs w:val="22"/>
                <w:lang w:eastAsia="en-GB"/>
              </w:rPr>
              <w:t>BA</w:t>
            </w:r>
          </w:p>
        </w:tc>
      </w:tr>
      <w:tr w:rsidR="00502F34" w:rsidRPr="00502F34" w14:paraId="119B1960"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28A252AA"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center"/>
            <w:hideMark/>
          </w:tcPr>
          <w:p w14:paraId="764A0CA9"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auto"/>
            <w:noWrap/>
            <w:vAlign w:val="bottom"/>
            <w:hideMark/>
          </w:tcPr>
          <w:p w14:paraId="11D4A57C" w14:textId="77777777" w:rsidR="00502F34" w:rsidRPr="00502F34" w:rsidRDefault="00502F34" w:rsidP="00502F34">
            <w:pPr>
              <w:jc w:val="center"/>
              <w:rPr>
                <w:rFonts w:ascii="Calibri" w:eastAsia="Times New Roman" w:hAnsi="Calibri" w:cs="Calibri"/>
                <w:b/>
                <w:bCs/>
                <w:color w:val="000000"/>
                <w:sz w:val="22"/>
                <w:szCs w:val="22"/>
                <w:lang w:eastAsia="en-GB"/>
              </w:rPr>
            </w:pPr>
            <w:r w:rsidRPr="00502F34">
              <w:rPr>
                <w:rFonts w:ascii="Calibri" w:eastAsia="Times New Roman" w:hAnsi="Calibri" w:cs="Calibri"/>
                <w:b/>
                <w:bCs/>
                <w:color w:val="000000"/>
                <w:sz w:val="22"/>
                <w:szCs w:val="22"/>
                <w:lang w:eastAsia="en-GB"/>
              </w:rPr>
              <w:t>X</w:t>
            </w:r>
          </w:p>
        </w:tc>
        <w:tc>
          <w:tcPr>
            <w:tcW w:w="851" w:type="dxa"/>
            <w:tcBorders>
              <w:top w:val="nil"/>
              <w:left w:val="nil"/>
              <w:bottom w:val="single" w:sz="4" w:space="0" w:color="auto"/>
              <w:right w:val="single" w:sz="4" w:space="0" w:color="auto"/>
            </w:tcBorders>
            <w:shd w:val="clear" w:color="auto" w:fill="auto"/>
            <w:noWrap/>
            <w:vAlign w:val="bottom"/>
            <w:hideMark/>
          </w:tcPr>
          <w:p w14:paraId="25DD43B7" w14:textId="77777777" w:rsidR="00502F34" w:rsidRPr="00502F34" w:rsidRDefault="00502F34" w:rsidP="00502F34">
            <w:pPr>
              <w:jc w:val="center"/>
              <w:rPr>
                <w:rFonts w:ascii="Calibri" w:eastAsia="Times New Roman" w:hAnsi="Calibri" w:cs="Calibri"/>
                <w:b/>
                <w:bCs/>
                <w:color w:val="000000"/>
                <w:sz w:val="22"/>
                <w:szCs w:val="22"/>
                <w:lang w:eastAsia="en-GB"/>
              </w:rPr>
            </w:pPr>
            <w:r w:rsidRPr="00502F34">
              <w:rPr>
                <w:rFonts w:ascii="Calibri" w:eastAsia="Times New Roman" w:hAnsi="Calibri" w:cs="Calibri"/>
                <w:b/>
                <w:bCs/>
                <w:color w:val="000000"/>
                <w:sz w:val="22"/>
                <w:szCs w:val="22"/>
                <w:lang w:eastAsia="en-GB"/>
              </w:rPr>
              <w:t>Y</w:t>
            </w:r>
          </w:p>
        </w:tc>
        <w:tc>
          <w:tcPr>
            <w:tcW w:w="850" w:type="dxa"/>
            <w:tcBorders>
              <w:top w:val="nil"/>
              <w:left w:val="nil"/>
              <w:bottom w:val="single" w:sz="4" w:space="0" w:color="auto"/>
              <w:right w:val="single" w:sz="4" w:space="0" w:color="auto"/>
            </w:tcBorders>
            <w:shd w:val="clear" w:color="auto" w:fill="auto"/>
            <w:noWrap/>
            <w:vAlign w:val="bottom"/>
            <w:hideMark/>
          </w:tcPr>
          <w:p w14:paraId="347B89C4" w14:textId="77777777" w:rsidR="00502F34" w:rsidRPr="00502F34" w:rsidRDefault="00502F34" w:rsidP="00502F34">
            <w:pPr>
              <w:jc w:val="center"/>
              <w:rPr>
                <w:rFonts w:ascii="Calibri" w:eastAsia="Times New Roman" w:hAnsi="Calibri" w:cs="Calibri"/>
                <w:b/>
                <w:bCs/>
                <w:color w:val="000000"/>
                <w:sz w:val="22"/>
                <w:szCs w:val="22"/>
                <w:lang w:eastAsia="en-GB"/>
              </w:rPr>
            </w:pPr>
            <w:r w:rsidRPr="00502F34">
              <w:rPr>
                <w:rFonts w:ascii="Calibri" w:eastAsia="Times New Roman" w:hAnsi="Calibri" w:cs="Calibri"/>
                <w:b/>
                <w:bCs/>
                <w:color w:val="000000"/>
                <w:sz w:val="22"/>
                <w:szCs w:val="22"/>
                <w:lang w:eastAsia="en-GB"/>
              </w:rPr>
              <w:t>Z</w:t>
            </w:r>
          </w:p>
        </w:tc>
        <w:tc>
          <w:tcPr>
            <w:tcW w:w="1387" w:type="dxa"/>
            <w:tcBorders>
              <w:top w:val="nil"/>
              <w:left w:val="nil"/>
              <w:bottom w:val="single" w:sz="4" w:space="0" w:color="auto"/>
              <w:right w:val="single" w:sz="4" w:space="0" w:color="auto"/>
            </w:tcBorders>
            <w:shd w:val="clear" w:color="auto" w:fill="auto"/>
            <w:noWrap/>
            <w:vAlign w:val="center"/>
            <w:hideMark/>
          </w:tcPr>
          <w:p w14:paraId="0260E638"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704" w:type="dxa"/>
            <w:tcBorders>
              <w:top w:val="nil"/>
              <w:left w:val="nil"/>
              <w:bottom w:val="single" w:sz="4" w:space="0" w:color="auto"/>
              <w:right w:val="single" w:sz="4" w:space="0" w:color="auto"/>
            </w:tcBorders>
            <w:shd w:val="clear" w:color="auto" w:fill="auto"/>
            <w:noWrap/>
            <w:vAlign w:val="center"/>
            <w:hideMark/>
          </w:tcPr>
          <w:p w14:paraId="5A6CA6CB"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1170" w:type="dxa"/>
            <w:tcBorders>
              <w:top w:val="nil"/>
              <w:left w:val="nil"/>
              <w:bottom w:val="single" w:sz="4" w:space="0" w:color="auto"/>
              <w:right w:val="single" w:sz="4" w:space="0" w:color="auto"/>
            </w:tcBorders>
            <w:shd w:val="clear" w:color="auto" w:fill="auto"/>
            <w:noWrap/>
            <w:vAlign w:val="center"/>
            <w:hideMark/>
          </w:tcPr>
          <w:p w14:paraId="15479949"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2523" w:type="dxa"/>
            <w:tcBorders>
              <w:top w:val="nil"/>
              <w:left w:val="nil"/>
              <w:bottom w:val="single" w:sz="4" w:space="0" w:color="auto"/>
              <w:right w:val="single" w:sz="4" w:space="0" w:color="auto"/>
            </w:tcBorders>
            <w:shd w:val="clear" w:color="auto" w:fill="auto"/>
            <w:noWrap/>
            <w:vAlign w:val="center"/>
            <w:hideMark/>
          </w:tcPr>
          <w:p w14:paraId="76D04056"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473" w:type="dxa"/>
            <w:tcBorders>
              <w:top w:val="nil"/>
              <w:left w:val="nil"/>
              <w:bottom w:val="single" w:sz="4" w:space="0" w:color="auto"/>
              <w:right w:val="single" w:sz="4" w:space="0" w:color="auto"/>
            </w:tcBorders>
            <w:shd w:val="clear" w:color="auto" w:fill="auto"/>
            <w:noWrap/>
            <w:vAlign w:val="center"/>
            <w:hideMark/>
          </w:tcPr>
          <w:p w14:paraId="2E4113A3"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r>
      <w:tr w:rsidR="00502F34" w:rsidRPr="00502F34" w14:paraId="3C313C7B"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06294475" w14:textId="77777777" w:rsidR="00502F34" w:rsidRPr="00502F34" w:rsidRDefault="00502F34" w:rsidP="00502F34">
            <w:pPr>
              <w:rPr>
                <w:rFonts w:ascii="Calibri" w:eastAsia="Times New Roman" w:hAnsi="Calibri" w:cs="Calibri"/>
                <w:b/>
                <w:bCs/>
                <w:sz w:val="22"/>
                <w:szCs w:val="22"/>
                <w:lang w:eastAsia="en-GB"/>
              </w:rPr>
            </w:pPr>
            <w:r w:rsidRPr="00502F34">
              <w:rPr>
                <w:rFonts w:ascii="Calibri" w:eastAsia="Times New Roman" w:hAnsi="Calibri" w:cs="Calibri"/>
                <w:b/>
                <w:bCs/>
                <w:sz w:val="22"/>
                <w:szCs w:val="22"/>
                <w:lang w:eastAsia="en-GB"/>
              </w:rPr>
              <w:t>Reading</w:t>
            </w:r>
          </w:p>
        </w:tc>
        <w:tc>
          <w:tcPr>
            <w:tcW w:w="858" w:type="dxa"/>
            <w:tcBorders>
              <w:top w:val="nil"/>
              <w:left w:val="nil"/>
              <w:bottom w:val="single" w:sz="4" w:space="0" w:color="auto"/>
              <w:right w:val="single" w:sz="4" w:space="0" w:color="auto"/>
            </w:tcBorders>
            <w:shd w:val="clear" w:color="auto" w:fill="auto"/>
            <w:noWrap/>
            <w:vAlign w:val="bottom"/>
            <w:hideMark/>
          </w:tcPr>
          <w:p w14:paraId="7833E20A"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w:t>
            </w:r>
          </w:p>
        </w:tc>
        <w:tc>
          <w:tcPr>
            <w:tcW w:w="900" w:type="dxa"/>
            <w:tcBorders>
              <w:top w:val="nil"/>
              <w:left w:val="nil"/>
              <w:bottom w:val="single" w:sz="4" w:space="0" w:color="auto"/>
              <w:right w:val="single" w:sz="4" w:space="0" w:color="auto"/>
            </w:tcBorders>
            <w:shd w:val="clear" w:color="auto" w:fill="auto"/>
            <w:noWrap/>
            <w:vAlign w:val="center"/>
            <w:hideMark/>
          </w:tcPr>
          <w:p w14:paraId="797399E8"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-47.99</w:t>
            </w:r>
          </w:p>
        </w:tc>
        <w:tc>
          <w:tcPr>
            <w:tcW w:w="851" w:type="dxa"/>
            <w:tcBorders>
              <w:top w:val="nil"/>
              <w:left w:val="nil"/>
              <w:bottom w:val="single" w:sz="4" w:space="0" w:color="auto"/>
              <w:right w:val="single" w:sz="4" w:space="0" w:color="auto"/>
            </w:tcBorders>
            <w:shd w:val="clear" w:color="auto" w:fill="auto"/>
            <w:noWrap/>
            <w:vAlign w:val="center"/>
            <w:hideMark/>
          </w:tcPr>
          <w:p w14:paraId="62E45848"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23.74</w:t>
            </w:r>
          </w:p>
        </w:tc>
        <w:tc>
          <w:tcPr>
            <w:tcW w:w="850" w:type="dxa"/>
            <w:tcBorders>
              <w:top w:val="nil"/>
              <w:left w:val="nil"/>
              <w:bottom w:val="single" w:sz="4" w:space="0" w:color="auto"/>
              <w:right w:val="single" w:sz="4" w:space="0" w:color="auto"/>
            </w:tcBorders>
            <w:shd w:val="clear" w:color="auto" w:fill="auto"/>
            <w:noWrap/>
            <w:vAlign w:val="center"/>
            <w:hideMark/>
          </w:tcPr>
          <w:p w14:paraId="6D1BBDDC"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16.8</w:t>
            </w:r>
          </w:p>
        </w:tc>
        <w:tc>
          <w:tcPr>
            <w:tcW w:w="1387" w:type="dxa"/>
            <w:tcBorders>
              <w:top w:val="nil"/>
              <w:left w:val="nil"/>
              <w:bottom w:val="single" w:sz="4" w:space="0" w:color="auto"/>
              <w:right w:val="single" w:sz="4" w:space="0" w:color="auto"/>
            </w:tcBorders>
            <w:shd w:val="clear" w:color="auto" w:fill="auto"/>
            <w:noWrap/>
            <w:vAlign w:val="center"/>
            <w:hideMark/>
          </w:tcPr>
          <w:p w14:paraId="5C4F9CDA"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0.09909219</w:t>
            </w:r>
          </w:p>
        </w:tc>
        <w:tc>
          <w:tcPr>
            <w:tcW w:w="704" w:type="dxa"/>
            <w:tcBorders>
              <w:top w:val="nil"/>
              <w:left w:val="nil"/>
              <w:bottom w:val="single" w:sz="4" w:space="0" w:color="auto"/>
              <w:right w:val="single" w:sz="4" w:space="0" w:color="auto"/>
            </w:tcBorders>
            <w:shd w:val="clear" w:color="auto" w:fill="auto"/>
            <w:noWrap/>
            <w:vAlign w:val="bottom"/>
            <w:hideMark/>
          </w:tcPr>
          <w:p w14:paraId="754141D1"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6386DAF8"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478B5999"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Middle Frontal Gyrus</w:t>
            </w:r>
          </w:p>
        </w:tc>
        <w:tc>
          <w:tcPr>
            <w:tcW w:w="473" w:type="dxa"/>
            <w:tcBorders>
              <w:top w:val="nil"/>
              <w:left w:val="nil"/>
              <w:bottom w:val="single" w:sz="4" w:space="0" w:color="auto"/>
              <w:right w:val="single" w:sz="4" w:space="0" w:color="auto"/>
            </w:tcBorders>
            <w:shd w:val="clear" w:color="auto" w:fill="auto"/>
            <w:noWrap/>
            <w:vAlign w:val="center"/>
            <w:hideMark/>
          </w:tcPr>
          <w:p w14:paraId="47F925F0"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46</w:t>
            </w:r>
          </w:p>
        </w:tc>
      </w:tr>
      <w:tr w:rsidR="00502F34" w:rsidRPr="00502F34" w14:paraId="3DF1A31A"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47EA21C9"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P(FWE)&lt;0.05 (1000 permutations)</w:t>
            </w:r>
          </w:p>
        </w:tc>
        <w:tc>
          <w:tcPr>
            <w:tcW w:w="858" w:type="dxa"/>
            <w:tcBorders>
              <w:top w:val="nil"/>
              <w:left w:val="nil"/>
              <w:bottom w:val="single" w:sz="4" w:space="0" w:color="auto"/>
              <w:right w:val="single" w:sz="4" w:space="0" w:color="auto"/>
            </w:tcBorders>
            <w:shd w:val="clear" w:color="auto" w:fill="auto"/>
            <w:noWrap/>
            <w:vAlign w:val="bottom"/>
            <w:hideMark/>
          </w:tcPr>
          <w:p w14:paraId="7C1EF375"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auto"/>
            <w:noWrap/>
            <w:vAlign w:val="center"/>
            <w:hideMark/>
          </w:tcPr>
          <w:p w14:paraId="4A6ECEBB"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-45.68</w:t>
            </w:r>
          </w:p>
        </w:tc>
        <w:tc>
          <w:tcPr>
            <w:tcW w:w="851" w:type="dxa"/>
            <w:tcBorders>
              <w:top w:val="nil"/>
              <w:left w:val="nil"/>
              <w:bottom w:val="single" w:sz="4" w:space="0" w:color="auto"/>
              <w:right w:val="single" w:sz="4" w:space="0" w:color="auto"/>
            </w:tcBorders>
            <w:shd w:val="clear" w:color="auto" w:fill="auto"/>
            <w:noWrap/>
            <w:vAlign w:val="center"/>
            <w:hideMark/>
          </w:tcPr>
          <w:p w14:paraId="17FDC642"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5.74</w:t>
            </w:r>
          </w:p>
        </w:tc>
        <w:tc>
          <w:tcPr>
            <w:tcW w:w="850" w:type="dxa"/>
            <w:tcBorders>
              <w:top w:val="nil"/>
              <w:left w:val="nil"/>
              <w:bottom w:val="single" w:sz="4" w:space="0" w:color="auto"/>
              <w:right w:val="single" w:sz="4" w:space="0" w:color="auto"/>
            </w:tcBorders>
            <w:shd w:val="clear" w:color="auto" w:fill="auto"/>
            <w:noWrap/>
            <w:vAlign w:val="center"/>
            <w:hideMark/>
          </w:tcPr>
          <w:p w14:paraId="7DABA225"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31.66</w:t>
            </w:r>
          </w:p>
        </w:tc>
        <w:tc>
          <w:tcPr>
            <w:tcW w:w="1387" w:type="dxa"/>
            <w:tcBorders>
              <w:top w:val="nil"/>
              <w:left w:val="nil"/>
              <w:bottom w:val="single" w:sz="4" w:space="0" w:color="auto"/>
              <w:right w:val="single" w:sz="4" w:space="0" w:color="auto"/>
            </w:tcBorders>
            <w:shd w:val="clear" w:color="auto" w:fill="auto"/>
            <w:noWrap/>
            <w:vAlign w:val="center"/>
            <w:hideMark/>
          </w:tcPr>
          <w:p w14:paraId="3C787348"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0.08507671</w:t>
            </w:r>
          </w:p>
        </w:tc>
        <w:tc>
          <w:tcPr>
            <w:tcW w:w="704" w:type="dxa"/>
            <w:tcBorders>
              <w:top w:val="nil"/>
              <w:left w:val="nil"/>
              <w:bottom w:val="single" w:sz="4" w:space="0" w:color="auto"/>
              <w:right w:val="single" w:sz="4" w:space="0" w:color="auto"/>
            </w:tcBorders>
            <w:shd w:val="clear" w:color="auto" w:fill="auto"/>
            <w:noWrap/>
            <w:vAlign w:val="bottom"/>
            <w:hideMark/>
          </w:tcPr>
          <w:p w14:paraId="73EB6526"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28945466"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5D768E9E"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Inferior Frontal Gyrus</w:t>
            </w:r>
          </w:p>
        </w:tc>
        <w:tc>
          <w:tcPr>
            <w:tcW w:w="473" w:type="dxa"/>
            <w:tcBorders>
              <w:top w:val="nil"/>
              <w:left w:val="nil"/>
              <w:bottom w:val="single" w:sz="4" w:space="0" w:color="auto"/>
              <w:right w:val="single" w:sz="4" w:space="0" w:color="auto"/>
            </w:tcBorders>
            <w:shd w:val="clear" w:color="auto" w:fill="auto"/>
            <w:noWrap/>
            <w:vAlign w:val="center"/>
            <w:hideMark/>
          </w:tcPr>
          <w:p w14:paraId="284A1AC4"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6</w:t>
            </w:r>
          </w:p>
        </w:tc>
      </w:tr>
      <w:tr w:rsidR="00502F34" w:rsidRPr="00502F34" w14:paraId="32D7E76B"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7A0AE460" w14:textId="1C37E33E" w:rsidR="00502F34" w:rsidRPr="00502F34" w:rsidRDefault="0089068C" w:rsidP="00502F34">
            <w:pP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Cluster Threshold</w:t>
            </w:r>
            <w:r w:rsidR="00502F34" w:rsidRPr="00502F34">
              <w:rPr>
                <w:rFonts w:ascii="Calibri" w:eastAsia="Times New Roman" w:hAnsi="Calibri" w:cs="Calibri"/>
                <w:color w:val="000000"/>
                <w:sz w:val="22"/>
                <w:szCs w:val="22"/>
                <w:lang w:eastAsia="en-GB"/>
              </w:rPr>
              <w:t>&gt;200</w:t>
            </w:r>
          </w:p>
        </w:tc>
        <w:tc>
          <w:tcPr>
            <w:tcW w:w="858" w:type="dxa"/>
            <w:tcBorders>
              <w:top w:val="nil"/>
              <w:left w:val="nil"/>
              <w:bottom w:val="single" w:sz="4" w:space="0" w:color="auto"/>
              <w:right w:val="single" w:sz="4" w:space="0" w:color="auto"/>
            </w:tcBorders>
            <w:shd w:val="clear" w:color="auto" w:fill="auto"/>
            <w:noWrap/>
            <w:vAlign w:val="bottom"/>
            <w:hideMark/>
          </w:tcPr>
          <w:p w14:paraId="0EE81F1B"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auto"/>
            <w:noWrap/>
            <w:vAlign w:val="center"/>
            <w:hideMark/>
          </w:tcPr>
          <w:p w14:paraId="79FDF565"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-47.68</w:t>
            </w:r>
          </w:p>
        </w:tc>
        <w:tc>
          <w:tcPr>
            <w:tcW w:w="851" w:type="dxa"/>
            <w:tcBorders>
              <w:top w:val="nil"/>
              <w:left w:val="nil"/>
              <w:bottom w:val="single" w:sz="4" w:space="0" w:color="auto"/>
              <w:right w:val="single" w:sz="4" w:space="0" w:color="auto"/>
            </w:tcBorders>
            <w:shd w:val="clear" w:color="auto" w:fill="auto"/>
            <w:noWrap/>
            <w:vAlign w:val="center"/>
            <w:hideMark/>
          </w:tcPr>
          <w:p w14:paraId="1EBC1270"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0.58</w:t>
            </w:r>
          </w:p>
        </w:tc>
        <w:tc>
          <w:tcPr>
            <w:tcW w:w="850" w:type="dxa"/>
            <w:tcBorders>
              <w:top w:val="nil"/>
              <w:left w:val="nil"/>
              <w:bottom w:val="single" w:sz="4" w:space="0" w:color="auto"/>
              <w:right w:val="single" w:sz="4" w:space="0" w:color="auto"/>
            </w:tcBorders>
            <w:shd w:val="clear" w:color="auto" w:fill="auto"/>
            <w:noWrap/>
            <w:vAlign w:val="center"/>
            <w:hideMark/>
          </w:tcPr>
          <w:p w14:paraId="301C1826"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47.73</w:t>
            </w:r>
          </w:p>
        </w:tc>
        <w:tc>
          <w:tcPr>
            <w:tcW w:w="1387" w:type="dxa"/>
            <w:tcBorders>
              <w:top w:val="nil"/>
              <w:left w:val="nil"/>
              <w:bottom w:val="single" w:sz="4" w:space="0" w:color="auto"/>
              <w:right w:val="single" w:sz="4" w:space="0" w:color="auto"/>
            </w:tcBorders>
            <w:shd w:val="clear" w:color="auto" w:fill="auto"/>
            <w:noWrap/>
            <w:vAlign w:val="center"/>
            <w:hideMark/>
          </w:tcPr>
          <w:p w14:paraId="40D72BE4"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0.06985907</w:t>
            </w:r>
          </w:p>
        </w:tc>
        <w:tc>
          <w:tcPr>
            <w:tcW w:w="704" w:type="dxa"/>
            <w:tcBorders>
              <w:top w:val="nil"/>
              <w:left w:val="nil"/>
              <w:bottom w:val="single" w:sz="4" w:space="0" w:color="auto"/>
              <w:right w:val="single" w:sz="4" w:space="0" w:color="auto"/>
            </w:tcBorders>
            <w:shd w:val="clear" w:color="auto" w:fill="auto"/>
            <w:noWrap/>
            <w:vAlign w:val="bottom"/>
            <w:hideMark/>
          </w:tcPr>
          <w:p w14:paraId="19BBAB9D"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4FB35B15"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2EBA258C"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Precentral Gyrus</w:t>
            </w:r>
          </w:p>
        </w:tc>
        <w:tc>
          <w:tcPr>
            <w:tcW w:w="473" w:type="dxa"/>
            <w:tcBorders>
              <w:top w:val="nil"/>
              <w:left w:val="nil"/>
              <w:bottom w:val="single" w:sz="4" w:space="0" w:color="auto"/>
              <w:right w:val="single" w:sz="4" w:space="0" w:color="auto"/>
            </w:tcBorders>
            <w:shd w:val="clear" w:color="auto" w:fill="auto"/>
            <w:noWrap/>
            <w:vAlign w:val="center"/>
            <w:hideMark/>
          </w:tcPr>
          <w:p w14:paraId="363F3B6F"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6</w:t>
            </w:r>
          </w:p>
        </w:tc>
      </w:tr>
      <w:tr w:rsidR="00502F34" w:rsidRPr="00502F34" w14:paraId="7C5EEC8E"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1FD5C266"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668F8451"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auto"/>
            <w:noWrap/>
            <w:vAlign w:val="center"/>
            <w:hideMark/>
          </w:tcPr>
          <w:p w14:paraId="2AD3F949"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-43.87</w:t>
            </w:r>
          </w:p>
        </w:tc>
        <w:tc>
          <w:tcPr>
            <w:tcW w:w="851" w:type="dxa"/>
            <w:tcBorders>
              <w:top w:val="nil"/>
              <w:left w:val="nil"/>
              <w:bottom w:val="single" w:sz="4" w:space="0" w:color="auto"/>
              <w:right w:val="single" w:sz="4" w:space="0" w:color="auto"/>
            </w:tcBorders>
            <w:shd w:val="clear" w:color="auto" w:fill="auto"/>
            <w:noWrap/>
            <w:vAlign w:val="center"/>
            <w:hideMark/>
          </w:tcPr>
          <w:p w14:paraId="210F218A"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26.62</w:t>
            </w:r>
          </w:p>
        </w:tc>
        <w:tc>
          <w:tcPr>
            <w:tcW w:w="850" w:type="dxa"/>
            <w:tcBorders>
              <w:top w:val="nil"/>
              <w:left w:val="nil"/>
              <w:bottom w:val="single" w:sz="4" w:space="0" w:color="auto"/>
              <w:right w:val="single" w:sz="4" w:space="0" w:color="auto"/>
            </w:tcBorders>
            <w:shd w:val="clear" w:color="auto" w:fill="auto"/>
            <w:noWrap/>
            <w:vAlign w:val="center"/>
            <w:hideMark/>
          </w:tcPr>
          <w:p w14:paraId="5C867190"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-1.34</w:t>
            </w:r>
          </w:p>
        </w:tc>
        <w:tc>
          <w:tcPr>
            <w:tcW w:w="1387" w:type="dxa"/>
            <w:tcBorders>
              <w:top w:val="nil"/>
              <w:left w:val="nil"/>
              <w:bottom w:val="single" w:sz="4" w:space="0" w:color="auto"/>
              <w:right w:val="single" w:sz="4" w:space="0" w:color="auto"/>
            </w:tcBorders>
            <w:shd w:val="clear" w:color="auto" w:fill="auto"/>
            <w:noWrap/>
            <w:vAlign w:val="center"/>
            <w:hideMark/>
          </w:tcPr>
          <w:p w14:paraId="2CBF97A0"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0.052802455</w:t>
            </w:r>
          </w:p>
        </w:tc>
        <w:tc>
          <w:tcPr>
            <w:tcW w:w="704" w:type="dxa"/>
            <w:tcBorders>
              <w:top w:val="nil"/>
              <w:left w:val="nil"/>
              <w:bottom w:val="single" w:sz="4" w:space="0" w:color="auto"/>
              <w:right w:val="single" w:sz="4" w:space="0" w:color="auto"/>
            </w:tcBorders>
            <w:shd w:val="clear" w:color="auto" w:fill="auto"/>
            <w:noWrap/>
            <w:vAlign w:val="bottom"/>
            <w:hideMark/>
          </w:tcPr>
          <w:p w14:paraId="4D28A7B2"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2BB637F3"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088D286B"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Inferior Frontal Gyrus</w:t>
            </w:r>
          </w:p>
        </w:tc>
        <w:tc>
          <w:tcPr>
            <w:tcW w:w="473" w:type="dxa"/>
            <w:tcBorders>
              <w:top w:val="nil"/>
              <w:left w:val="nil"/>
              <w:bottom w:val="single" w:sz="4" w:space="0" w:color="auto"/>
              <w:right w:val="single" w:sz="4" w:space="0" w:color="auto"/>
            </w:tcBorders>
            <w:shd w:val="clear" w:color="auto" w:fill="auto"/>
            <w:noWrap/>
            <w:vAlign w:val="center"/>
            <w:hideMark/>
          </w:tcPr>
          <w:p w14:paraId="2A543AC2"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13</w:t>
            </w:r>
          </w:p>
        </w:tc>
      </w:tr>
      <w:tr w:rsidR="00502F34" w:rsidRPr="00502F34" w14:paraId="5B448C15"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60A5F9BF"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5A6AFF75"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auto"/>
            <w:noWrap/>
            <w:vAlign w:val="center"/>
            <w:hideMark/>
          </w:tcPr>
          <w:p w14:paraId="55D71AFF"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-54.12</w:t>
            </w:r>
          </w:p>
        </w:tc>
        <w:tc>
          <w:tcPr>
            <w:tcW w:w="851" w:type="dxa"/>
            <w:tcBorders>
              <w:top w:val="nil"/>
              <w:left w:val="nil"/>
              <w:bottom w:val="single" w:sz="4" w:space="0" w:color="auto"/>
              <w:right w:val="single" w:sz="4" w:space="0" w:color="auto"/>
            </w:tcBorders>
            <w:shd w:val="clear" w:color="auto" w:fill="auto"/>
            <w:noWrap/>
            <w:vAlign w:val="center"/>
            <w:hideMark/>
          </w:tcPr>
          <w:p w14:paraId="38338D44"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-10.71</w:t>
            </w:r>
          </w:p>
        </w:tc>
        <w:tc>
          <w:tcPr>
            <w:tcW w:w="850" w:type="dxa"/>
            <w:tcBorders>
              <w:top w:val="nil"/>
              <w:left w:val="nil"/>
              <w:bottom w:val="single" w:sz="4" w:space="0" w:color="auto"/>
              <w:right w:val="single" w:sz="4" w:space="0" w:color="auto"/>
            </w:tcBorders>
            <w:shd w:val="clear" w:color="auto" w:fill="auto"/>
            <w:noWrap/>
            <w:vAlign w:val="center"/>
            <w:hideMark/>
          </w:tcPr>
          <w:p w14:paraId="2CBF415F"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39.83</w:t>
            </w:r>
          </w:p>
        </w:tc>
        <w:tc>
          <w:tcPr>
            <w:tcW w:w="1387" w:type="dxa"/>
            <w:tcBorders>
              <w:top w:val="nil"/>
              <w:left w:val="nil"/>
              <w:bottom w:val="single" w:sz="4" w:space="0" w:color="auto"/>
              <w:right w:val="single" w:sz="4" w:space="0" w:color="auto"/>
            </w:tcBorders>
            <w:shd w:val="clear" w:color="auto" w:fill="auto"/>
            <w:noWrap/>
            <w:vAlign w:val="center"/>
            <w:hideMark/>
          </w:tcPr>
          <w:p w14:paraId="403BA0EB"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0.045808453</w:t>
            </w:r>
          </w:p>
        </w:tc>
        <w:tc>
          <w:tcPr>
            <w:tcW w:w="704" w:type="dxa"/>
            <w:tcBorders>
              <w:top w:val="nil"/>
              <w:left w:val="nil"/>
              <w:bottom w:val="single" w:sz="4" w:space="0" w:color="auto"/>
              <w:right w:val="single" w:sz="4" w:space="0" w:color="auto"/>
            </w:tcBorders>
            <w:shd w:val="clear" w:color="auto" w:fill="auto"/>
            <w:noWrap/>
            <w:vAlign w:val="bottom"/>
            <w:hideMark/>
          </w:tcPr>
          <w:p w14:paraId="4A99352E"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729A0F6F"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1B4EFA7B"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Postcentral Gyrus</w:t>
            </w:r>
          </w:p>
        </w:tc>
        <w:tc>
          <w:tcPr>
            <w:tcW w:w="473" w:type="dxa"/>
            <w:tcBorders>
              <w:top w:val="nil"/>
              <w:left w:val="nil"/>
              <w:bottom w:val="single" w:sz="4" w:space="0" w:color="auto"/>
              <w:right w:val="single" w:sz="4" w:space="0" w:color="auto"/>
            </w:tcBorders>
            <w:shd w:val="clear" w:color="auto" w:fill="auto"/>
            <w:noWrap/>
            <w:vAlign w:val="center"/>
            <w:hideMark/>
          </w:tcPr>
          <w:p w14:paraId="3FEBFC8D"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w:t>
            </w:r>
          </w:p>
        </w:tc>
      </w:tr>
      <w:tr w:rsidR="00502F34" w:rsidRPr="00502F34" w14:paraId="151770DE"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6FBED9D1"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07B71F1D"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auto"/>
            <w:noWrap/>
            <w:vAlign w:val="center"/>
            <w:hideMark/>
          </w:tcPr>
          <w:p w14:paraId="17315C80"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-52.02</w:t>
            </w:r>
          </w:p>
        </w:tc>
        <w:tc>
          <w:tcPr>
            <w:tcW w:w="851" w:type="dxa"/>
            <w:tcBorders>
              <w:top w:val="nil"/>
              <w:left w:val="nil"/>
              <w:bottom w:val="single" w:sz="4" w:space="0" w:color="auto"/>
              <w:right w:val="single" w:sz="4" w:space="0" w:color="auto"/>
            </w:tcBorders>
            <w:shd w:val="clear" w:color="auto" w:fill="auto"/>
            <w:noWrap/>
            <w:vAlign w:val="center"/>
            <w:hideMark/>
          </w:tcPr>
          <w:p w14:paraId="5BB6607B"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-8.93</w:t>
            </w:r>
          </w:p>
        </w:tc>
        <w:tc>
          <w:tcPr>
            <w:tcW w:w="850" w:type="dxa"/>
            <w:tcBorders>
              <w:top w:val="nil"/>
              <w:left w:val="nil"/>
              <w:bottom w:val="single" w:sz="4" w:space="0" w:color="auto"/>
              <w:right w:val="single" w:sz="4" w:space="0" w:color="auto"/>
            </w:tcBorders>
            <w:shd w:val="clear" w:color="auto" w:fill="auto"/>
            <w:noWrap/>
            <w:vAlign w:val="center"/>
            <w:hideMark/>
          </w:tcPr>
          <w:p w14:paraId="7EA0418C"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35.2</w:t>
            </w:r>
          </w:p>
        </w:tc>
        <w:tc>
          <w:tcPr>
            <w:tcW w:w="1387" w:type="dxa"/>
            <w:tcBorders>
              <w:top w:val="nil"/>
              <w:left w:val="nil"/>
              <w:bottom w:val="single" w:sz="4" w:space="0" w:color="auto"/>
              <w:right w:val="single" w:sz="4" w:space="0" w:color="auto"/>
            </w:tcBorders>
            <w:shd w:val="clear" w:color="auto" w:fill="auto"/>
            <w:noWrap/>
            <w:vAlign w:val="center"/>
            <w:hideMark/>
          </w:tcPr>
          <w:p w14:paraId="64FF8328"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0.045547023</w:t>
            </w:r>
          </w:p>
        </w:tc>
        <w:tc>
          <w:tcPr>
            <w:tcW w:w="704" w:type="dxa"/>
            <w:tcBorders>
              <w:top w:val="nil"/>
              <w:left w:val="nil"/>
              <w:bottom w:val="single" w:sz="4" w:space="0" w:color="auto"/>
              <w:right w:val="single" w:sz="4" w:space="0" w:color="auto"/>
            </w:tcBorders>
            <w:shd w:val="clear" w:color="auto" w:fill="auto"/>
            <w:noWrap/>
            <w:vAlign w:val="bottom"/>
            <w:hideMark/>
          </w:tcPr>
          <w:p w14:paraId="39577391"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6AF959F0"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7AFC4B56"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Precentral Gyrus</w:t>
            </w:r>
          </w:p>
        </w:tc>
        <w:tc>
          <w:tcPr>
            <w:tcW w:w="473" w:type="dxa"/>
            <w:tcBorders>
              <w:top w:val="nil"/>
              <w:left w:val="nil"/>
              <w:bottom w:val="single" w:sz="4" w:space="0" w:color="auto"/>
              <w:right w:val="single" w:sz="4" w:space="0" w:color="auto"/>
            </w:tcBorders>
            <w:shd w:val="clear" w:color="auto" w:fill="auto"/>
            <w:noWrap/>
            <w:vAlign w:val="center"/>
            <w:hideMark/>
          </w:tcPr>
          <w:p w14:paraId="3BE32BE3"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6</w:t>
            </w:r>
          </w:p>
        </w:tc>
      </w:tr>
      <w:tr w:rsidR="00502F34" w:rsidRPr="00502F34" w14:paraId="4EE79EF5"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3F51C07A"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3E51DB44"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w:t>
            </w:r>
          </w:p>
        </w:tc>
        <w:tc>
          <w:tcPr>
            <w:tcW w:w="900" w:type="dxa"/>
            <w:tcBorders>
              <w:top w:val="nil"/>
              <w:left w:val="nil"/>
              <w:bottom w:val="single" w:sz="4" w:space="0" w:color="auto"/>
              <w:right w:val="single" w:sz="4" w:space="0" w:color="auto"/>
            </w:tcBorders>
            <w:shd w:val="clear" w:color="auto" w:fill="auto"/>
            <w:noWrap/>
            <w:vAlign w:val="center"/>
            <w:hideMark/>
          </w:tcPr>
          <w:p w14:paraId="65559C76"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-43.7</w:t>
            </w:r>
          </w:p>
        </w:tc>
        <w:tc>
          <w:tcPr>
            <w:tcW w:w="851" w:type="dxa"/>
            <w:tcBorders>
              <w:top w:val="nil"/>
              <w:left w:val="nil"/>
              <w:bottom w:val="single" w:sz="4" w:space="0" w:color="auto"/>
              <w:right w:val="single" w:sz="4" w:space="0" w:color="auto"/>
            </w:tcBorders>
            <w:shd w:val="clear" w:color="auto" w:fill="auto"/>
            <w:noWrap/>
            <w:vAlign w:val="center"/>
            <w:hideMark/>
          </w:tcPr>
          <w:p w14:paraId="20605620"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-59.51</w:t>
            </w:r>
          </w:p>
        </w:tc>
        <w:tc>
          <w:tcPr>
            <w:tcW w:w="850" w:type="dxa"/>
            <w:tcBorders>
              <w:top w:val="nil"/>
              <w:left w:val="nil"/>
              <w:bottom w:val="single" w:sz="4" w:space="0" w:color="auto"/>
              <w:right w:val="single" w:sz="4" w:space="0" w:color="auto"/>
            </w:tcBorders>
            <w:shd w:val="clear" w:color="auto" w:fill="auto"/>
            <w:noWrap/>
            <w:vAlign w:val="center"/>
            <w:hideMark/>
          </w:tcPr>
          <w:p w14:paraId="2AD4DBBF"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-14.19</w:t>
            </w:r>
          </w:p>
        </w:tc>
        <w:tc>
          <w:tcPr>
            <w:tcW w:w="1387" w:type="dxa"/>
            <w:tcBorders>
              <w:top w:val="nil"/>
              <w:left w:val="nil"/>
              <w:bottom w:val="single" w:sz="4" w:space="0" w:color="auto"/>
              <w:right w:val="single" w:sz="4" w:space="0" w:color="auto"/>
            </w:tcBorders>
            <w:shd w:val="clear" w:color="auto" w:fill="auto"/>
            <w:noWrap/>
            <w:vAlign w:val="center"/>
            <w:hideMark/>
          </w:tcPr>
          <w:p w14:paraId="42FF0B39"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0.07579479</w:t>
            </w:r>
          </w:p>
        </w:tc>
        <w:tc>
          <w:tcPr>
            <w:tcW w:w="704" w:type="dxa"/>
            <w:tcBorders>
              <w:top w:val="nil"/>
              <w:left w:val="nil"/>
              <w:bottom w:val="single" w:sz="4" w:space="0" w:color="auto"/>
              <w:right w:val="single" w:sz="4" w:space="0" w:color="auto"/>
            </w:tcBorders>
            <w:shd w:val="clear" w:color="auto" w:fill="auto"/>
            <w:noWrap/>
            <w:vAlign w:val="bottom"/>
            <w:hideMark/>
          </w:tcPr>
          <w:p w14:paraId="4D5E6592"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396B600A"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Temporal</w:t>
            </w:r>
          </w:p>
        </w:tc>
        <w:tc>
          <w:tcPr>
            <w:tcW w:w="2523" w:type="dxa"/>
            <w:tcBorders>
              <w:top w:val="nil"/>
              <w:left w:val="nil"/>
              <w:bottom w:val="single" w:sz="4" w:space="0" w:color="auto"/>
              <w:right w:val="single" w:sz="4" w:space="0" w:color="auto"/>
            </w:tcBorders>
            <w:shd w:val="clear" w:color="auto" w:fill="auto"/>
            <w:noWrap/>
            <w:vAlign w:val="bottom"/>
            <w:hideMark/>
          </w:tcPr>
          <w:p w14:paraId="67503CD7"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Fusiform Gyrus</w:t>
            </w:r>
          </w:p>
        </w:tc>
        <w:tc>
          <w:tcPr>
            <w:tcW w:w="473" w:type="dxa"/>
            <w:tcBorders>
              <w:top w:val="nil"/>
              <w:left w:val="nil"/>
              <w:bottom w:val="single" w:sz="4" w:space="0" w:color="auto"/>
              <w:right w:val="single" w:sz="4" w:space="0" w:color="auto"/>
            </w:tcBorders>
            <w:shd w:val="clear" w:color="auto" w:fill="auto"/>
            <w:noWrap/>
            <w:vAlign w:val="center"/>
            <w:hideMark/>
          </w:tcPr>
          <w:p w14:paraId="0C3B02D0"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37</w:t>
            </w:r>
          </w:p>
        </w:tc>
      </w:tr>
      <w:tr w:rsidR="00502F34" w:rsidRPr="00502F34" w14:paraId="4DF6AE70"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26C9FC17"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2DD8C517"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auto"/>
            <w:noWrap/>
            <w:vAlign w:val="center"/>
            <w:hideMark/>
          </w:tcPr>
          <w:p w14:paraId="700DC8D0"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-41.62</w:t>
            </w:r>
          </w:p>
        </w:tc>
        <w:tc>
          <w:tcPr>
            <w:tcW w:w="851" w:type="dxa"/>
            <w:tcBorders>
              <w:top w:val="nil"/>
              <w:left w:val="nil"/>
              <w:bottom w:val="single" w:sz="4" w:space="0" w:color="auto"/>
              <w:right w:val="single" w:sz="4" w:space="0" w:color="auto"/>
            </w:tcBorders>
            <w:shd w:val="clear" w:color="auto" w:fill="auto"/>
            <w:noWrap/>
            <w:vAlign w:val="center"/>
            <w:hideMark/>
          </w:tcPr>
          <w:p w14:paraId="5BDDBC03"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-49.1</w:t>
            </w:r>
          </w:p>
        </w:tc>
        <w:tc>
          <w:tcPr>
            <w:tcW w:w="850" w:type="dxa"/>
            <w:tcBorders>
              <w:top w:val="nil"/>
              <w:left w:val="nil"/>
              <w:bottom w:val="single" w:sz="4" w:space="0" w:color="auto"/>
              <w:right w:val="single" w:sz="4" w:space="0" w:color="auto"/>
            </w:tcBorders>
            <w:shd w:val="clear" w:color="auto" w:fill="auto"/>
            <w:noWrap/>
            <w:vAlign w:val="center"/>
            <w:hideMark/>
          </w:tcPr>
          <w:p w14:paraId="6482A105"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-17.32</w:t>
            </w:r>
          </w:p>
        </w:tc>
        <w:tc>
          <w:tcPr>
            <w:tcW w:w="1387" w:type="dxa"/>
            <w:tcBorders>
              <w:top w:val="nil"/>
              <w:left w:val="nil"/>
              <w:bottom w:val="single" w:sz="4" w:space="0" w:color="auto"/>
              <w:right w:val="single" w:sz="4" w:space="0" w:color="auto"/>
            </w:tcBorders>
            <w:shd w:val="clear" w:color="auto" w:fill="auto"/>
            <w:noWrap/>
            <w:vAlign w:val="center"/>
            <w:hideMark/>
          </w:tcPr>
          <w:p w14:paraId="0268262B"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0.07101602</w:t>
            </w:r>
          </w:p>
        </w:tc>
        <w:tc>
          <w:tcPr>
            <w:tcW w:w="704" w:type="dxa"/>
            <w:tcBorders>
              <w:top w:val="nil"/>
              <w:left w:val="nil"/>
              <w:bottom w:val="single" w:sz="4" w:space="0" w:color="auto"/>
              <w:right w:val="single" w:sz="4" w:space="0" w:color="auto"/>
            </w:tcBorders>
            <w:shd w:val="clear" w:color="auto" w:fill="auto"/>
            <w:noWrap/>
            <w:vAlign w:val="bottom"/>
            <w:hideMark/>
          </w:tcPr>
          <w:p w14:paraId="708D01EE"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6C8FFE26"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Temporal</w:t>
            </w:r>
          </w:p>
        </w:tc>
        <w:tc>
          <w:tcPr>
            <w:tcW w:w="2523" w:type="dxa"/>
            <w:tcBorders>
              <w:top w:val="nil"/>
              <w:left w:val="nil"/>
              <w:bottom w:val="single" w:sz="4" w:space="0" w:color="auto"/>
              <w:right w:val="single" w:sz="4" w:space="0" w:color="auto"/>
            </w:tcBorders>
            <w:shd w:val="clear" w:color="auto" w:fill="auto"/>
            <w:noWrap/>
            <w:vAlign w:val="bottom"/>
            <w:hideMark/>
          </w:tcPr>
          <w:p w14:paraId="6B15DDEE"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Fusiform Gyrus</w:t>
            </w:r>
          </w:p>
        </w:tc>
        <w:tc>
          <w:tcPr>
            <w:tcW w:w="473" w:type="dxa"/>
            <w:tcBorders>
              <w:top w:val="nil"/>
              <w:left w:val="nil"/>
              <w:bottom w:val="single" w:sz="4" w:space="0" w:color="auto"/>
              <w:right w:val="single" w:sz="4" w:space="0" w:color="auto"/>
            </w:tcBorders>
            <w:shd w:val="clear" w:color="auto" w:fill="auto"/>
            <w:noWrap/>
            <w:vAlign w:val="center"/>
            <w:hideMark/>
          </w:tcPr>
          <w:p w14:paraId="40EFE37B"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37</w:t>
            </w:r>
          </w:p>
        </w:tc>
      </w:tr>
      <w:tr w:rsidR="00502F34" w:rsidRPr="00502F34" w14:paraId="0C26CF08"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B8EE6D7"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043A8C04"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w:t>
            </w:r>
          </w:p>
        </w:tc>
        <w:tc>
          <w:tcPr>
            <w:tcW w:w="900" w:type="dxa"/>
            <w:tcBorders>
              <w:top w:val="nil"/>
              <w:left w:val="nil"/>
              <w:bottom w:val="single" w:sz="4" w:space="0" w:color="auto"/>
              <w:right w:val="single" w:sz="4" w:space="0" w:color="auto"/>
            </w:tcBorders>
            <w:shd w:val="clear" w:color="auto" w:fill="auto"/>
            <w:noWrap/>
            <w:vAlign w:val="center"/>
            <w:hideMark/>
          </w:tcPr>
          <w:p w14:paraId="551A3AFC"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-.62</w:t>
            </w:r>
          </w:p>
        </w:tc>
        <w:tc>
          <w:tcPr>
            <w:tcW w:w="851" w:type="dxa"/>
            <w:tcBorders>
              <w:top w:val="nil"/>
              <w:left w:val="nil"/>
              <w:bottom w:val="single" w:sz="4" w:space="0" w:color="auto"/>
              <w:right w:val="single" w:sz="4" w:space="0" w:color="auto"/>
            </w:tcBorders>
            <w:shd w:val="clear" w:color="auto" w:fill="auto"/>
            <w:noWrap/>
            <w:vAlign w:val="center"/>
            <w:hideMark/>
          </w:tcPr>
          <w:p w14:paraId="6A55C4F7"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7.9</w:t>
            </w:r>
          </w:p>
        </w:tc>
        <w:tc>
          <w:tcPr>
            <w:tcW w:w="850" w:type="dxa"/>
            <w:tcBorders>
              <w:top w:val="nil"/>
              <w:left w:val="nil"/>
              <w:bottom w:val="single" w:sz="4" w:space="0" w:color="auto"/>
              <w:right w:val="single" w:sz="4" w:space="0" w:color="auto"/>
            </w:tcBorders>
            <w:shd w:val="clear" w:color="auto" w:fill="auto"/>
            <w:noWrap/>
            <w:vAlign w:val="center"/>
            <w:hideMark/>
          </w:tcPr>
          <w:p w14:paraId="77721563"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55.5</w:t>
            </w:r>
          </w:p>
        </w:tc>
        <w:tc>
          <w:tcPr>
            <w:tcW w:w="1387" w:type="dxa"/>
            <w:tcBorders>
              <w:top w:val="nil"/>
              <w:left w:val="nil"/>
              <w:bottom w:val="single" w:sz="4" w:space="0" w:color="auto"/>
              <w:right w:val="single" w:sz="4" w:space="0" w:color="auto"/>
            </w:tcBorders>
            <w:shd w:val="clear" w:color="auto" w:fill="auto"/>
            <w:noWrap/>
            <w:vAlign w:val="center"/>
            <w:hideMark/>
          </w:tcPr>
          <w:p w14:paraId="6EAB791D"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0.0694997</w:t>
            </w:r>
          </w:p>
        </w:tc>
        <w:tc>
          <w:tcPr>
            <w:tcW w:w="704" w:type="dxa"/>
            <w:tcBorders>
              <w:top w:val="nil"/>
              <w:left w:val="nil"/>
              <w:bottom w:val="single" w:sz="4" w:space="0" w:color="auto"/>
              <w:right w:val="single" w:sz="4" w:space="0" w:color="auto"/>
            </w:tcBorders>
            <w:shd w:val="clear" w:color="auto" w:fill="auto"/>
            <w:noWrap/>
            <w:vAlign w:val="bottom"/>
            <w:hideMark/>
          </w:tcPr>
          <w:p w14:paraId="43523B01"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44AE7DBD"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751A9678"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Medial Frontal Gyrus</w:t>
            </w:r>
          </w:p>
        </w:tc>
        <w:tc>
          <w:tcPr>
            <w:tcW w:w="473" w:type="dxa"/>
            <w:tcBorders>
              <w:top w:val="nil"/>
              <w:left w:val="nil"/>
              <w:bottom w:val="single" w:sz="4" w:space="0" w:color="auto"/>
              <w:right w:val="single" w:sz="4" w:space="0" w:color="auto"/>
            </w:tcBorders>
            <w:shd w:val="clear" w:color="auto" w:fill="auto"/>
            <w:noWrap/>
            <w:vAlign w:val="center"/>
            <w:hideMark/>
          </w:tcPr>
          <w:p w14:paraId="180B7F7E"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6</w:t>
            </w:r>
          </w:p>
        </w:tc>
      </w:tr>
      <w:tr w:rsidR="00502F34" w:rsidRPr="00502F34" w14:paraId="0A43D0DD"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7E1199B"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21A035E3"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auto"/>
            <w:noWrap/>
            <w:vAlign w:val="center"/>
            <w:hideMark/>
          </w:tcPr>
          <w:p w14:paraId="1A40127E"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5.69</w:t>
            </w:r>
          </w:p>
        </w:tc>
        <w:tc>
          <w:tcPr>
            <w:tcW w:w="851" w:type="dxa"/>
            <w:tcBorders>
              <w:top w:val="nil"/>
              <w:left w:val="nil"/>
              <w:bottom w:val="single" w:sz="4" w:space="0" w:color="auto"/>
              <w:right w:val="single" w:sz="4" w:space="0" w:color="auto"/>
            </w:tcBorders>
            <w:shd w:val="clear" w:color="auto" w:fill="auto"/>
            <w:noWrap/>
            <w:vAlign w:val="center"/>
            <w:hideMark/>
          </w:tcPr>
          <w:p w14:paraId="27123B20"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15.71</w:t>
            </w:r>
          </w:p>
        </w:tc>
        <w:tc>
          <w:tcPr>
            <w:tcW w:w="850" w:type="dxa"/>
            <w:tcBorders>
              <w:top w:val="nil"/>
              <w:left w:val="nil"/>
              <w:bottom w:val="single" w:sz="4" w:space="0" w:color="auto"/>
              <w:right w:val="single" w:sz="4" w:space="0" w:color="auto"/>
            </w:tcBorders>
            <w:shd w:val="clear" w:color="auto" w:fill="auto"/>
            <w:noWrap/>
            <w:vAlign w:val="center"/>
            <w:hideMark/>
          </w:tcPr>
          <w:p w14:paraId="0172FBD1"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45.85</w:t>
            </w:r>
          </w:p>
        </w:tc>
        <w:tc>
          <w:tcPr>
            <w:tcW w:w="1387" w:type="dxa"/>
            <w:tcBorders>
              <w:top w:val="nil"/>
              <w:left w:val="nil"/>
              <w:bottom w:val="single" w:sz="4" w:space="0" w:color="auto"/>
              <w:right w:val="single" w:sz="4" w:space="0" w:color="auto"/>
            </w:tcBorders>
            <w:shd w:val="clear" w:color="auto" w:fill="auto"/>
            <w:noWrap/>
            <w:vAlign w:val="center"/>
            <w:hideMark/>
          </w:tcPr>
          <w:p w14:paraId="33333574"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0.060160756</w:t>
            </w:r>
          </w:p>
        </w:tc>
        <w:tc>
          <w:tcPr>
            <w:tcW w:w="704" w:type="dxa"/>
            <w:tcBorders>
              <w:top w:val="nil"/>
              <w:left w:val="nil"/>
              <w:bottom w:val="single" w:sz="4" w:space="0" w:color="auto"/>
              <w:right w:val="single" w:sz="4" w:space="0" w:color="auto"/>
            </w:tcBorders>
            <w:shd w:val="clear" w:color="auto" w:fill="auto"/>
            <w:noWrap/>
            <w:vAlign w:val="bottom"/>
            <w:hideMark/>
          </w:tcPr>
          <w:p w14:paraId="4E966348"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R</w:t>
            </w:r>
          </w:p>
        </w:tc>
        <w:tc>
          <w:tcPr>
            <w:tcW w:w="1170" w:type="dxa"/>
            <w:tcBorders>
              <w:top w:val="nil"/>
              <w:left w:val="nil"/>
              <w:bottom w:val="single" w:sz="4" w:space="0" w:color="auto"/>
              <w:right w:val="single" w:sz="4" w:space="0" w:color="auto"/>
            </w:tcBorders>
            <w:shd w:val="clear" w:color="auto" w:fill="auto"/>
            <w:noWrap/>
            <w:vAlign w:val="bottom"/>
            <w:hideMark/>
          </w:tcPr>
          <w:p w14:paraId="7A6B92B6"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0BE858A4"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Medial Frontal Gyrus</w:t>
            </w:r>
          </w:p>
        </w:tc>
        <w:tc>
          <w:tcPr>
            <w:tcW w:w="473" w:type="dxa"/>
            <w:tcBorders>
              <w:top w:val="nil"/>
              <w:left w:val="nil"/>
              <w:bottom w:val="single" w:sz="4" w:space="0" w:color="auto"/>
              <w:right w:val="single" w:sz="4" w:space="0" w:color="auto"/>
            </w:tcBorders>
            <w:shd w:val="clear" w:color="auto" w:fill="auto"/>
            <w:noWrap/>
            <w:vAlign w:val="center"/>
            <w:hideMark/>
          </w:tcPr>
          <w:p w14:paraId="6B9D3D41"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32</w:t>
            </w:r>
          </w:p>
        </w:tc>
      </w:tr>
      <w:tr w:rsidR="00502F34" w:rsidRPr="00502F34" w14:paraId="2E5DD0A2"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66B077A3"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1AEAA1C0"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w:t>
            </w:r>
          </w:p>
        </w:tc>
        <w:tc>
          <w:tcPr>
            <w:tcW w:w="900" w:type="dxa"/>
            <w:tcBorders>
              <w:top w:val="nil"/>
              <w:left w:val="nil"/>
              <w:bottom w:val="single" w:sz="4" w:space="0" w:color="auto"/>
              <w:right w:val="single" w:sz="4" w:space="0" w:color="auto"/>
            </w:tcBorders>
            <w:shd w:val="clear" w:color="auto" w:fill="auto"/>
            <w:noWrap/>
            <w:vAlign w:val="center"/>
            <w:hideMark/>
          </w:tcPr>
          <w:p w14:paraId="364C0E0E"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37.32</w:t>
            </w:r>
          </w:p>
        </w:tc>
        <w:tc>
          <w:tcPr>
            <w:tcW w:w="851" w:type="dxa"/>
            <w:tcBorders>
              <w:top w:val="nil"/>
              <w:left w:val="nil"/>
              <w:bottom w:val="single" w:sz="4" w:space="0" w:color="auto"/>
              <w:right w:val="single" w:sz="4" w:space="0" w:color="auto"/>
            </w:tcBorders>
            <w:shd w:val="clear" w:color="auto" w:fill="auto"/>
            <w:noWrap/>
            <w:vAlign w:val="center"/>
            <w:hideMark/>
          </w:tcPr>
          <w:p w14:paraId="1EC3F79E"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26.76</w:t>
            </w:r>
          </w:p>
        </w:tc>
        <w:tc>
          <w:tcPr>
            <w:tcW w:w="850" w:type="dxa"/>
            <w:tcBorders>
              <w:top w:val="nil"/>
              <w:left w:val="nil"/>
              <w:bottom w:val="single" w:sz="4" w:space="0" w:color="auto"/>
              <w:right w:val="single" w:sz="4" w:space="0" w:color="auto"/>
            </w:tcBorders>
            <w:shd w:val="clear" w:color="auto" w:fill="auto"/>
            <w:noWrap/>
            <w:vAlign w:val="center"/>
            <w:hideMark/>
          </w:tcPr>
          <w:p w14:paraId="5EFF3BA4"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-6.74</w:t>
            </w:r>
          </w:p>
        </w:tc>
        <w:tc>
          <w:tcPr>
            <w:tcW w:w="1387" w:type="dxa"/>
            <w:tcBorders>
              <w:top w:val="nil"/>
              <w:left w:val="nil"/>
              <w:bottom w:val="single" w:sz="4" w:space="0" w:color="auto"/>
              <w:right w:val="single" w:sz="4" w:space="0" w:color="auto"/>
            </w:tcBorders>
            <w:shd w:val="clear" w:color="auto" w:fill="auto"/>
            <w:noWrap/>
            <w:vAlign w:val="center"/>
            <w:hideMark/>
          </w:tcPr>
          <w:p w14:paraId="009FFB38"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0.053327434</w:t>
            </w:r>
          </w:p>
        </w:tc>
        <w:tc>
          <w:tcPr>
            <w:tcW w:w="704" w:type="dxa"/>
            <w:tcBorders>
              <w:top w:val="nil"/>
              <w:left w:val="nil"/>
              <w:bottom w:val="single" w:sz="4" w:space="0" w:color="auto"/>
              <w:right w:val="single" w:sz="4" w:space="0" w:color="auto"/>
            </w:tcBorders>
            <w:shd w:val="clear" w:color="auto" w:fill="auto"/>
            <w:noWrap/>
            <w:vAlign w:val="bottom"/>
            <w:hideMark/>
          </w:tcPr>
          <w:p w14:paraId="14753165"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R</w:t>
            </w:r>
          </w:p>
        </w:tc>
        <w:tc>
          <w:tcPr>
            <w:tcW w:w="1170" w:type="dxa"/>
            <w:tcBorders>
              <w:top w:val="nil"/>
              <w:left w:val="nil"/>
              <w:bottom w:val="single" w:sz="4" w:space="0" w:color="auto"/>
              <w:right w:val="single" w:sz="4" w:space="0" w:color="auto"/>
            </w:tcBorders>
            <w:shd w:val="clear" w:color="auto" w:fill="auto"/>
            <w:noWrap/>
            <w:vAlign w:val="bottom"/>
            <w:hideMark/>
          </w:tcPr>
          <w:p w14:paraId="6EF49CF2"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3935F087"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Inferior Frontal Gyrus</w:t>
            </w:r>
          </w:p>
        </w:tc>
        <w:tc>
          <w:tcPr>
            <w:tcW w:w="473" w:type="dxa"/>
            <w:tcBorders>
              <w:top w:val="nil"/>
              <w:left w:val="nil"/>
              <w:bottom w:val="single" w:sz="4" w:space="0" w:color="auto"/>
              <w:right w:val="single" w:sz="4" w:space="0" w:color="auto"/>
            </w:tcBorders>
            <w:shd w:val="clear" w:color="auto" w:fill="auto"/>
            <w:noWrap/>
            <w:vAlign w:val="center"/>
            <w:hideMark/>
          </w:tcPr>
          <w:p w14:paraId="65594FF8"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47</w:t>
            </w:r>
          </w:p>
        </w:tc>
      </w:tr>
      <w:tr w:rsidR="00502F34" w:rsidRPr="00502F34" w14:paraId="2536C4B8"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6019B423"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55208206"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w:t>
            </w:r>
          </w:p>
        </w:tc>
        <w:tc>
          <w:tcPr>
            <w:tcW w:w="900" w:type="dxa"/>
            <w:tcBorders>
              <w:top w:val="nil"/>
              <w:left w:val="nil"/>
              <w:bottom w:val="single" w:sz="4" w:space="0" w:color="auto"/>
              <w:right w:val="single" w:sz="4" w:space="0" w:color="auto"/>
            </w:tcBorders>
            <w:shd w:val="clear" w:color="auto" w:fill="auto"/>
            <w:noWrap/>
            <w:vAlign w:val="center"/>
            <w:hideMark/>
          </w:tcPr>
          <w:p w14:paraId="5B28FBD1"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50.37</w:t>
            </w:r>
          </w:p>
        </w:tc>
        <w:tc>
          <w:tcPr>
            <w:tcW w:w="851" w:type="dxa"/>
            <w:tcBorders>
              <w:top w:val="nil"/>
              <w:left w:val="nil"/>
              <w:bottom w:val="single" w:sz="4" w:space="0" w:color="auto"/>
              <w:right w:val="single" w:sz="4" w:space="0" w:color="auto"/>
            </w:tcBorders>
            <w:shd w:val="clear" w:color="auto" w:fill="auto"/>
            <w:noWrap/>
            <w:vAlign w:val="center"/>
            <w:hideMark/>
          </w:tcPr>
          <w:p w14:paraId="4E516062"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24.84</w:t>
            </w:r>
          </w:p>
        </w:tc>
        <w:tc>
          <w:tcPr>
            <w:tcW w:w="850" w:type="dxa"/>
            <w:tcBorders>
              <w:top w:val="nil"/>
              <w:left w:val="nil"/>
              <w:bottom w:val="single" w:sz="4" w:space="0" w:color="auto"/>
              <w:right w:val="single" w:sz="4" w:space="0" w:color="auto"/>
            </w:tcBorders>
            <w:shd w:val="clear" w:color="auto" w:fill="auto"/>
            <w:noWrap/>
            <w:vAlign w:val="center"/>
            <w:hideMark/>
          </w:tcPr>
          <w:p w14:paraId="22EB792D"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22.27</w:t>
            </w:r>
          </w:p>
        </w:tc>
        <w:tc>
          <w:tcPr>
            <w:tcW w:w="1387" w:type="dxa"/>
            <w:tcBorders>
              <w:top w:val="nil"/>
              <w:left w:val="nil"/>
              <w:bottom w:val="single" w:sz="4" w:space="0" w:color="auto"/>
              <w:right w:val="single" w:sz="4" w:space="0" w:color="auto"/>
            </w:tcBorders>
            <w:shd w:val="clear" w:color="auto" w:fill="auto"/>
            <w:noWrap/>
            <w:vAlign w:val="center"/>
            <w:hideMark/>
          </w:tcPr>
          <w:p w14:paraId="3E948A91"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0.053470768</w:t>
            </w:r>
          </w:p>
        </w:tc>
        <w:tc>
          <w:tcPr>
            <w:tcW w:w="704" w:type="dxa"/>
            <w:tcBorders>
              <w:top w:val="nil"/>
              <w:left w:val="nil"/>
              <w:bottom w:val="single" w:sz="4" w:space="0" w:color="auto"/>
              <w:right w:val="single" w:sz="4" w:space="0" w:color="auto"/>
            </w:tcBorders>
            <w:shd w:val="clear" w:color="auto" w:fill="auto"/>
            <w:noWrap/>
            <w:vAlign w:val="bottom"/>
            <w:hideMark/>
          </w:tcPr>
          <w:p w14:paraId="6394A0A2"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R</w:t>
            </w:r>
          </w:p>
        </w:tc>
        <w:tc>
          <w:tcPr>
            <w:tcW w:w="1170" w:type="dxa"/>
            <w:tcBorders>
              <w:top w:val="nil"/>
              <w:left w:val="nil"/>
              <w:bottom w:val="single" w:sz="4" w:space="0" w:color="auto"/>
              <w:right w:val="single" w:sz="4" w:space="0" w:color="auto"/>
            </w:tcBorders>
            <w:shd w:val="clear" w:color="auto" w:fill="auto"/>
            <w:noWrap/>
            <w:vAlign w:val="bottom"/>
            <w:hideMark/>
          </w:tcPr>
          <w:p w14:paraId="57E35D63"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48828671"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Middle Frontal Gyrus</w:t>
            </w:r>
          </w:p>
        </w:tc>
        <w:tc>
          <w:tcPr>
            <w:tcW w:w="473" w:type="dxa"/>
            <w:tcBorders>
              <w:top w:val="nil"/>
              <w:left w:val="nil"/>
              <w:bottom w:val="single" w:sz="4" w:space="0" w:color="auto"/>
              <w:right w:val="single" w:sz="4" w:space="0" w:color="auto"/>
            </w:tcBorders>
            <w:shd w:val="clear" w:color="auto" w:fill="auto"/>
            <w:noWrap/>
            <w:vAlign w:val="center"/>
            <w:hideMark/>
          </w:tcPr>
          <w:p w14:paraId="526C70F8"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46</w:t>
            </w:r>
          </w:p>
        </w:tc>
      </w:tr>
      <w:tr w:rsidR="00502F34" w:rsidRPr="00502F34" w14:paraId="1C8BC8F7"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1258C87"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588CEE09"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auto"/>
            <w:noWrap/>
            <w:vAlign w:val="bottom"/>
            <w:hideMark/>
          </w:tcPr>
          <w:p w14:paraId="3194A4B0" w14:textId="77777777" w:rsidR="00502F34" w:rsidRPr="00502F34" w:rsidRDefault="00502F34" w:rsidP="00502F34">
            <w:pPr>
              <w:jc w:val="center"/>
              <w:rPr>
                <w:rFonts w:ascii="Calibri" w:eastAsia="Times New Roman" w:hAnsi="Calibri" w:cs="Calibri"/>
                <w:color w:val="FF0000"/>
                <w:sz w:val="22"/>
                <w:szCs w:val="22"/>
                <w:lang w:eastAsia="en-GB"/>
              </w:rPr>
            </w:pPr>
            <w:r w:rsidRPr="00502F34">
              <w:rPr>
                <w:rFonts w:ascii="Calibri" w:eastAsia="Times New Roman" w:hAnsi="Calibri" w:cs="Calibri"/>
                <w:color w:val="FF0000"/>
                <w:sz w:val="22"/>
                <w:szCs w:val="22"/>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E7ED07A" w14:textId="77777777" w:rsidR="00502F34" w:rsidRPr="00502F34" w:rsidRDefault="00502F34" w:rsidP="00502F34">
            <w:pPr>
              <w:jc w:val="center"/>
              <w:rPr>
                <w:rFonts w:ascii="Calibri" w:eastAsia="Times New Roman" w:hAnsi="Calibri" w:cs="Calibri"/>
                <w:color w:val="FF0000"/>
                <w:sz w:val="22"/>
                <w:szCs w:val="22"/>
                <w:lang w:eastAsia="en-GB"/>
              </w:rPr>
            </w:pPr>
            <w:r w:rsidRPr="00502F34">
              <w:rPr>
                <w:rFonts w:ascii="Calibri" w:eastAsia="Times New Roman" w:hAnsi="Calibri" w:cs="Calibri"/>
                <w:color w:val="FF0000"/>
                <w:sz w:val="22"/>
                <w:szCs w:val="22"/>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210984F" w14:textId="77777777" w:rsidR="00502F34" w:rsidRPr="00502F34" w:rsidRDefault="00502F34" w:rsidP="00502F34">
            <w:pPr>
              <w:jc w:val="center"/>
              <w:rPr>
                <w:rFonts w:ascii="Calibri" w:eastAsia="Times New Roman" w:hAnsi="Calibri" w:cs="Calibri"/>
                <w:color w:val="FF0000"/>
                <w:sz w:val="22"/>
                <w:szCs w:val="22"/>
                <w:lang w:eastAsia="en-GB"/>
              </w:rPr>
            </w:pPr>
            <w:r w:rsidRPr="00502F34">
              <w:rPr>
                <w:rFonts w:ascii="Calibri" w:eastAsia="Times New Roman" w:hAnsi="Calibri" w:cs="Calibri"/>
                <w:color w:val="FF0000"/>
                <w:sz w:val="22"/>
                <w:szCs w:val="22"/>
                <w:lang w:eastAsia="en-GB"/>
              </w:rPr>
              <w:t> </w:t>
            </w:r>
          </w:p>
        </w:tc>
        <w:tc>
          <w:tcPr>
            <w:tcW w:w="1387" w:type="dxa"/>
            <w:tcBorders>
              <w:top w:val="nil"/>
              <w:left w:val="nil"/>
              <w:bottom w:val="single" w:sz="4" w:space="0" w:color="auto"/>
              <w:right w:val="single" w:sz="4" w:space="0" w:color="auto"/>
            </w:tcBorders>
            <w:shd w:val="clear" w:color="auto" w:fill="auto"/>
            <w:noWrap/>
            <w:vAlign w:val="bottom"/>
            <w:hideMark/>
          </w:tcPr>
          <w:p w14:paraId="61AFED2F" w14:textId="77777777" w:rsidR="00502F34" w:rsidRPr="00502F34" w:rsidRDefault="00502F34" w:rsidP="00502F34">
            <w:pPr>
              <w:jc w:val="center"/>
              <w:rPr>
                <w:rFonts w:ascii="Calibri" w:eastAsia="Times New Roman" w:hAnsi="Calibri" w:cs="Calibri"/>
                <w:color w:val="FF0000"/>
                <w:sz w:val="22"/>
                <w:szCs w:val="22"/>
                <w:lang w:eastAsia="en-GB"/>
              </w:rPr>
            </w:pPr>
            <w:r w:rsidRPr="00502F34">
              <w:rPr>
                <w:rFonts w:ascii="Calibri" w:eastAsia="Times New Roman" w:hAnsi="Calibri" w:cs="Calibri"/>
                <w:color w:val="FF0000"/>
                <w:sz w:val="22"/>
                <w:szCs w:val="22"/>
                <w:lang w:eastAsia="en-GB"/>
              </w:rPr>
              <w:t> </w:t>
            </w:r>
          </w:p>
        </w:tc>
        <w:tc>
          <w:tcPr>
            <w:tcW w:w="704" w:type="dxa"/>
            <w:tcBorders>
              <w:top w:val="nil"/>
              <w:left w:val="nil"/>
              <w:bottom w:val="single" w:sz="4" w:space="0" w:color="auto"/>
              <w:right w:val="single" w:sz="4" w:space="0" w:color="auto"/>
            </w:tcBorders>
            <w:shd w:val="clear" w:color="auto" w:fill="auto"/>
            <w:noWrap/>
            <w:vAlign w:val="bottom"/>
            <w:hideMark/>
          </w:tcPr>
          <w:p w14:paraId="352AFFCA" w14:textId="77777777" w:rsidR="00502F34" w:rsidRPr="00502F34" w:rsidRDefault="00502F34" w:rsidP="00502F34">
            <w:pPr>
              <w:jc w:val="center"/>
              <w:rPr>
                <w:rFonts w:ascii="Calibri" w:eastAsia="Times New Roman" w:hAnsi="Calibri" w:cs="Calibri"/>
                <w:color w:val="FF0000"/>
                <w:sz w:val="22"/>
                <w:szCs w:val="22"/>
                <w:lang w:eastAsia="en-GB"/>
              </w:rPr>
            </w:pPr>
            <w:r w:rsidRPr="00502F34">
              <w:rPr>
                <w:rFonts w:ascii="Calibri" w:eastAsia="Times New Roman" w:hAnsi="Calibri" w:cs="Calibri"/>
                <w:color w:val="FF0000"/>
                <w:sz w:val="22"/>
                <w:szCs w:val="22"/>
                <w:lang w:eastAsia="en-GB"/>
              </w:rPr>
              <w:t> </w:t>
            </w:r>
          </w:p>
        </w:tc>
        <w:tc>
          <w:tcPr>
            <w:tcW w:w="1170" w:type="dxa"/>
            <w:tcBorders>
              <w:top w:val="nil"/>
              <w:left w:val="nil"/>
              <w:bottom w:val="single" w:sz="4" w:space="0" w:color="auto"/>
              <w:right w:val="single" w:sz="4" w:space="0" w:color="auto"/>
            </w:tcBorders>
            <w:shd w:val="clear" w:color="auto" w:fill="auto"/>
            <w:noWrap/>
            <w:vAlign w:val="bottom"/>
            <w:hideMark/>
          </w:tcPr>
          <w:p w14:paraId="4DA3A872" w14:textId="77777777" w:rsidR="00502F34" w:rsidRPr="00502F34" w:rsidRDefault="00502F34" w:rsidP="00502F34">
            <w:pPr>
              <w:rPr>
                <w:rFonts w:ascii="Calibri" w:eastAsia="Times New Roman" w:hAnsi="Calibri" w:cs="Calibri"/>
                <w:color w:val="FF0000"/>
                <w:sz w:val="22"/>
                <w:szCs w:val="22"/>
                <w:lang w:eastAsia="en-GB"/>
              </w:rPr>
            </w:pPr>
            <w:r w:rsidRPr="00502F34">
              <w:rPr>
                <w:rFonts w:ascii="Calibri" w:eastAsia="Times New Roman" w:hAnsi="Calibri" w:cs="Calibri"/>
                <w:color w:val="FF0000"/>
                <w:sz w:val="22"/>
                <w:szCs w:val="22"/>
                <w:lang w:eastAsia="en-GB"/>
              </w:rPr>
              <w:t> </w:t>
            </w:r>
          </w:p>
        </w:tc>
        <w:tc>
          <w:tcPr>
            <w:tcW w:w="2523" w:type="dxa"/>
            <w:tcBorders>
              <w:top w:val="nil"/>
              <w:left w:val="nil"/>
              <w:bottom w:val="single" w:sz="4" w:space="0" w:color="auto"/>
              <w:right w:val="single" w:sz="4" w:space="0" w:color="auto"/>
            </w:tcBorders>
            <w:shd w:val="clear" w:color="auto" w:fill="auto"/>
            <w:noWrap/>
            <w:vAlign w:val="bottom"/>
            <w:hideMark/>
          </w:tcPr>
          <w:p w14:paraId="1A8202DF" w14:textId="77777777" w:rsidR="00502F34" w:rsidRPr="00502F34" w:rsidRDefault="00502F34" w:rsidP="00502F34">
            <w:pPr>
              <w:rPr>
                <w:rFonts w:ascii="Calibri" w:eastAsia="Times New Roman" w:hAnsi="Calibri" w:cs="Calibri"/>
                <w:color w:val="FF0000"/>
                <w:sz w:val="22"/>
                <w:szCs w:val="22"/>
                <w:lang w:eastAsia="en-GB"/>
              </w:rPr>
            </w:pPr>
            <w:r w:rsidRPr="00502F34">
              <w:rPr>
                <w:rFonts w:ascii="Calibri" w:eastAsia="Times New Roman" w:hAnsi="Calibri" w:cs="Calibri"/>
                <w:color w:val="FF0000"/>
                <w:sz w:val="22"/>
                <w:szCs w:val="22"/>
                <w:lang w:eastAsia="en-GB"/>
              </w:rPr>
              <w:t> </w:t>
            </w:r>
          </w:p>
        </w:tc>
        <w:tc>
          <w:tcPr>
            <w:tcW w:w="473" w:type="dxa"/>
            <w:tcBorders>
              <w:top w:val="nil"/>
              <w:left w:val="nil"/>
              <w:bottom w:val="single" w:sz="4" w:space="0" w:color="auto"/>
              <w:right w:val="single" w:sz="4" w:space="0" w:color="auto"/>
            </w:tcBorders>
            <w:shd w:val="clear" w:color="auto" w:fill="auto"/>
            <w:noWrap/>
            <w:vAlign w:val="center"/>
            <w:hideMark/>
          </w:tcPr>
          <w:p w14:paraId="08B4D63E" w14:textId="77777777" w:rsidR="00502F34" w:rsidRPr="00502F34" w:rsidRDefault="00502F34" w:rsidP="00502F34">
            <w:pPr>
              <w:jc w:val="center"/>
              <w:rPr>
                <w:rFonts w:ascii="Calibri" w:eastAsia="Times New Roman" w:hAnsi="Calibri" w:cs="Calibri"/>
                <w:color w:val="FF0000"/>
                <w:sz w:val="22"/>
                <w:szCs w:val="22"/>
                <w:lang w:eastAsia="en-GB"/>
              </w:rPr>
            </w:pPr>
            <w:r w:rsidRPr="00502F34">
              <w:rPr>
                <w:rFonts w:ascii="Calibri" w:eastAsia="Times New Roman" w:hAnsi="Calibri" w:cs="Calibri"/>
                <w:color w:val="FF0000"/>
                <w:sz w:val="22"/>
                <w:szCs w:val="22"/>
                <w:lang w:eastAsia="en-GB"/>
              </w:rPr>
              <w:t> </w:t>
            </w:r>
          </w:p>
        </w:tc>
      </w:tr>
      <w:tr w:rsidR="00502F34" w:rsidRPr="00502F34" w14:paraId="3C9C333D"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39A9674D" w14:textId="77777777" w:rsidR="00502F34" w:rsidRPr="00502F34" w:rsidRDefault="00502F34" w:rsidP="00502F34">
            <w:pPr>
              <w:rPr>
                <w:rFonts w:ascii="Calibri" w:eastAsia="Times New Roman" w:hAnsi="Calibri" w:cs="Calibri"/>
                <w:b/>
                <w:bCs/>
                <w:color w:val="000000"/>
                <w:sz w:val="22"/>
                <w:szCs w:val="22"/>
                <w:lang w:eastAsia="en-GB"/>
              </w:rPr>
            </w:pPr>
            <w:r w:rsidRPr="00502F34">
              <w:rPr>
                <w:rFonts w:ascii="Calibri" w:eastAsia="Times New Roman" w:hAnsi="Calibri" w:cs="Calibri"/>
                <w:b/>
                <w:bCs/>
                <w:color w:val="000000"/>
                <w:sz w:val="22"/>
                <w:szCs w:val="22"/>
                <w:lang w:eastAsia="en-GB"/>
              </w:rPr>
              <w:t>Calculation</w:t>
            </w:r>
          </w:p>
        </w:tc>
        <w:tc>
          <w:tcPr>
            <w:tcW w:w="858" w:type="dxa"/>
            <w:tcBorders>
              <w:top w:val="nil"/>
              <w:left w:val="nil"/>
              <w:bottom w:val="single" w:sz="4" w:space="0" w:color="auto"/>
              <w:right w:val="single" w:sz="4" w:space="0" w:color="auto"/>
            </w:tcBorders>
            <w:shd w:val="clear" w:color="auto" w:fill="auto"/>
            <w:noWrap/>
            <w:vAlign w:val="bottom"/>
            <w:hideMark/>
          </w:tcPr>
          <w:p w14:paraId="32ECB7F6"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w:t>
            </w:r>
          </w:p>
        </w:tc>
        <w:tc>
          <w:tcPr>
            <w:tcW w:w="900" w:type="dxa"/>
            <w:tcBorders>
              <w:top w:val="nil"/>
              <w:left w:val="nil"/>
              <w:bottom w:val="single" w:sz="4" w:space="0" w:color="auto"/>
              <w:right w:val="single" w:sz="4" w:space="0" w:color="auto"/>
            </w:tcBorders>
            <w:shd w:val="clear" w:color="auto" w:fill="auto"/>
            <w:noWrap/>
            <w:vAlign w:val="center"/>
            <w:hideMark/>
          </w:tcPr>
          <w:p w14:paraId="3E5A1AAE"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31.54</w:t>
            </w:r>
          </w:p>
        </w:tc>
        <w:tc>
          <w:tcPr>
            <w:tcW w:w="851" w:type="dxa"/>
            <w:tcBorders>
              <w:top w:val="nil"/>
              <w:left w:val="nil"/>
              <w:bottom w:val="single" w:sz="4" w:space="0" w:color="auto"/>
              <w:right w:val="single" w:sz="4" w:space="0" w:color="auto"/>
            </w:tcBorders>
            <w:shd w:val="clear" w:color="auto" w:fill="auto"/>
            <w:noWrap/>
            <w:vAlign w:val="center"/>
            <w:hideMark/>
          </w:tcPr>
          <w:p w14:paraId="21BE5589"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-52.33</w:t>
            </w:r>
          </w:p>
        </w:tc>
        <w:tc>
          <w:tcPr>
            <w:tcW w:w="850" w:type="dxa"/>
            <w:tcBorders>
              <w:top w:val="nil"/>
              <w:left w:val="nil"/>
              <w:bottom w:val="single" w:sz="4" w:space="0" w:color="auto"/>
              <w:right w:val="single" w:sz="4" w:space="0" w:color="auto"/>
            </w:tcBorders>
            <w:shd w:val="clear" w:color="auto" w:fill="auto"/>
            <w:noWrap/>
            <w:vAlign w:val="center"/>
            <w:hideMark/>
          </w:tcPr>
          <w:p w14:paraId="1DE437D2"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44.57</w:t>
            </w:r>
          </w:p>
        </w:tc>
        <w:tc>
          <w:tcPr>
            <w:tcW w:w="1387" w:type="dxa"/>
            <w:tcBorders>
              <w:top w:val="nil"/>
              <w:left w:val="nil"/>
              <w:bottom w:val="single" w:sz="4" w:space="0" w:color="auto"/>
              <w:right w:val="single" w:sz="4" w:space="0" w:color="auto"/>
            </w:tcBorders>
            <w:shd w:val="clear" w:color="auto" w:fill="auto"/>
            <w:noWrap/>
            <w:vAlign w:val="center"/>
            <w:hideMark/>
          </w:tcPr>
          <w:p w14:paraId="573E3EF7"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0.10145992</w:t>
            </w:r>
          </w:p>
        </w:tc>
        <w:tc>
          <w:tcPr>
            <w:tcW w:w="704" w:type="dxa"/>
            <w:tcBorders>
              <w:top w:val="nil"/>
              <w:left w:val="nil"/>
              <w:bottom w:val="single" w:sz="4" w:space="0" w:color="auto"/>
              <w:right w:val="single" w:sz="4" w:space="0" w:color="auto"/>
            </w:tcBorders>
            <w:shd w:val="clear" w:color="auto" w:fill="auto"/>
            <w:noWrap/>
            <w:vAlign w:val="bottom"/>
            <w:hideMark/>
          </w:tcPr>
          <w:p w14:paraId="0A02751B"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R</w:t>
            </w:r>
          </w:p>
        </w:tc>
        <w:tc>
          <w:tcPr>
            <w:tcW w:w="1170" w:type="dxa"/>
            <w:tcBorders>
              <w:top w:val="nil"/>
              <w:left w:val="nil"/>
              <w:bottom w:val="single" w:sz="4" w:space="0" w:color="auto"/>
              <w:right w:val="single" w:sz="4" w:space="0" w:color="auto"/>
            </w:tcBorders>
            <w:shd w:val="clear" w:color="auto" w:fill="auto"/>
            <w:noWrap/>
            <w:vAlign w:val="bottom"/>
            <w:hideMark/>
          </w:tcPr>
          <w:p w14:paraId="1B534B74"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Parietal</w:t>
            </w:r>
          </w:p>
        </w:tc>
        <w:tc>
          <w:tcPr>
            <w:tcW w:w="2523" w:type="dxa"/>
            <w:tcBorders>
              <w:top w:val="nil"/>
              <w:left w:val="nil"/>
              <w:bottom w:val="single" w:sz="4" w:space="0" w:color="auto"/>
              <w:right w:val="single" w:sz="4" w:space="0" w:color="auto"/>
            </w:tcBorders>
            <w:shd w:val="clear" w:color="auto" w:fill="auto"/>
            <w:noWrap/>
            <w:vAlign w:val="bottom"/>
            <w:hideMark/>
          </w:tcPr>
          <w:p w14:paraId="65824EEB"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Superior Parietal Lobule</w:t>
            </w:r>
          </w:p>
        </w:tc>
        <w:tc>
          <w:tcPr>
            <w:tcW w:w="473" w:type="dxa"/>
            <w:tcBorders>
              <w:top w:val="nil"/>
              <w:left w:val="nil"/>
              <w:bottom w:val="single" w:sz="4" w:space="0" w:color="auto"/>
              <w:right w:val="single" w:sz="4" w:space="0" w:color="auto"/>
            </w:tcBorders>
            <w:shd w:val="clear" w:color="auto" w:fill="auto"/>
            <w:noWrap/>
            <w:vAlign w:val="bottom"/>
            <w:hideMark/>
          </w:tcPr>
          <w:p w14:paraId="531A8CE6"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7</w:t>
            </w:r>
          </w:p>
        </w:tc>
      </w:tr>
      <w:tr w:rsidR="00502F34" w:rsidRPr="00502F34" w14:paraId="3051D8B2"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4F668346"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P(FWE)&lt;0.05 (1000 permutations)</w:t>
            </w:r>
          </w:p>
        </w:tc>
        <w:tc>
          <w:tcPr>
            <w:tcW w:w="858" w:type="dxa"/>
            <w:tcBorders>
              <w:top w:val="nil"/>
              <w:left w:val="nil"/>
              <w:bottom w:val="single" w:sz="4" w:space="0" w:color="auto"/>
              <w:right w:val="single" w:sz="4" w:space="0" w:color="auto"/>
            </w:tcBorders>
            <w:shd w:val="clear" w:color="auto" w:fill="auto"/>
            <w:noWrap/>
            <w:vAlign w:val="bottom"/>
            <w:hideMark/>
          </w:tcPr>
          <w:p w14:paraId="2AC705A6"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auto"/>
            <w:noWrap/>
            <w:vAlign w:val="center"/>
            <w:hideMark/>
          </w:tcPr>
          <w:p w14:paraId="30307664"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48.6</w:t>
            </w:r>
          </w:p>
        </w:tc>
        <w:tc>
          <w:tcPr>
            <w:tcW w:w="851" w:type="dxa"/>
            <w:tcBorders>
              <w:top w:val="nil"/>
              <w:left w:val="nil"/>
              <w:bottom w:val="single" w:sz="4" w:space="0" w:color="auto"/>
              <w:right w:val="single" w:sz="4" w:space="0" w:color="auto"/>
            </w:tcBorders>
            <w:shd w:val="clear" w:color="auto" w:fill="auto"/>
            <w:noWrap/>
            <w:vAlign w:val="center"/>
            <w:hideMark/>
          </w:tcPr>
          <w:p w14:paraId="4E3A9FF0"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-32.85</w:t>
            </w:r>
          </w:p>
        </w:tc>
        <w:tc>
          <w:tcPr>
            <w:tcW w:w="850" w:type="dxa"/>
            <w:tcBorders>
              <w:top w:val="nil"/>
              <w:left w:val="nil"/>
              <w:bottom w:val="single" w:sz="4" w:space="0" w:color="auto"/>
              <w:right w:val="single" w:sz="4" w:space="0" w:color="auto"/>
            </w:tcBorders>
            <w:shd w:val="clear" w:color="auto" w:fill="auto"/>
            <w:noWrap/>
            <w:vAlign w:val="center"/>
            <w:hideMark/>
          </w:tcPr>
          <w:p w14:paraId="3A168A36"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47.2</w:t>
            </w:r>
          </w:p>
        </w:tc>
        <w:tc>
          <w:tcPr>
            <w:tcW w:w="1387" w:type="dxa"/>
            <w:tcBorders>
              <w:top w:val="nil"/>
              <w:left w:val="nil"/>
              <w:bottom w:val="single" w:sz="4" w:space="0" w:color="auto"/>
              <w:right w:val="single" w:sz="4" w:space="0" w:color="auto"/>
            </w:tcBorders>
            <w:shd w:val="clear" w:color="auto" w:fill="auto"/>
            <w:noWrap/>
            <w:vAlign w:val="center"/>
            <w:hideMark/>
          </w:tcPr>
          <w:p w14:paraId="0DC11329"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0.06980936</w:t>
            </w:r>
          </w:p>
        </w:tc>
        <w:tc>
          <w:tcPr>
            <w:tcW w:w="704" w:type="dxa"/>
            <w:tcBorders>
              <w:top w:val="nil"/>
              <w:left w:val="nil"/>
              <w:bottom w:val="single" w:sz="4" w:space="0" w:color="auto"/>
              <w:right w:val="single" w:sz="4" w:space="0" w:color="auto"/>
            </w:tcBorders>
            <w:shd w:val="clear" w:color="auto" w:fill="auto"/>
            <w:noWrap/>
            <w:vAlign w:val="bottom"/>
            <w:hideMark/>
          </w:tcPr>
          <w:p w14:paraId="4308C1B1"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R</w:t>
            </w:r>
          </w:p>
        </w:tc>
        <w:tc>
          <w:tcPr>
            <w:tcW w:w="1170" w:type="dxa"/>
            <w:tcBorders>
              <w:top w:val="nil"/>
              <w:left w:val="nil"/>
              <w:bottom w:val="single" w:sz="4" w:space="0" w:color="auto"/>
              <w:right w:val="single" w:sz="4" w:space="0" w:color="auto"/>
            </w:tcBorders>
            <w:shd w:val="clear" w:color="auto" w:fill="auto"/>
            <w:noWrap/>
            <w:vAlign w:val="bottom"/>
            <w:hideMark/>
          </w:tcPr>
          <w:p w14:paraId="41FB8D2D"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Parietal</w:t>
            </w:r>
          </w:p>
        </w:tc>
        <w:tc>
          <w:tcPr>
            <w:tcW w:w="2523" w:type="dxa"/>
            <w:tcBorders>
              <w:top w:val="nil"/>
              <w:left w:val="nil"/>
              <w:bottom w:val="single" w:sz="4" w:space="0" w:color="auto"/>
              <w:right w:val="single" w:sz="4" w:space="0" w:color="auto"/>
            </w:tcBorders>
            <w:shd w:val="clear" w:color="auto" w:fill="auto"/>
            <w:noWrap/>
            <w:vAlign w:val="bottom"/>
            <w:hideMark/>
          </w:tcPr>
          <w:p w14:paraId="6A63C412"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Inferior Parietal Lobule</w:t>
            </w:r>
          </w:p>
        </w:tc>
        <w:tc>
          <w:tcPr>
            <w:tcW w:w="473" w:type="dxa"/>
            <w:tcBorders>
              <w:top w:val="nil"/>
              <w:left w:val="nil"/>
              <w:bottom w:val="single" w:sz="4" w:space="0" w:color="auto"/>
              <w:right w:val="single" w:sz="4" w:space="0" w:color="auto"/>
            </w:tcBorders>
            <w:shd w:val="clear" w:color="auto" w:fill="auto"/>
            <w:noWrap/>
            <w:vAlign w:val="bottom"/>
            <w:hideMark/>
          </w:tcPr>
          <w:p w14:paraId="1065E6BF"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40</w:t>
            </w:r>
          </w:p>
        </w:tc>
      </w:tr>
      <w:tr w:rsidR="00502F34" w:rsidRPr="00502F34" w14:paraId="04F2B783"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4EF2FE0E" w14:textId="13EAB9FD" w:rsidR="00502F34" w:rsidRPr="00502F34" w:rsidRDefault="0089068C" w:rsidP="00502F34">
            <w:pP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Cluster Threshold</w:t>
            </w:r>
            <w:r w:rsidR="00502F34" w:rsidRPr="00502F34">
              <w:rPr>
                <w:rFonts w:ascii="Calibri" w:eastAsia="Times New Roman" w:hAnsi="Calibri" w:cs="Calibri"/>
                <w:color w:val="000000"/>
                <w:sz w:val="22"/>
                <w:szCs w:val="22"/>
                <w:lang w:eastAsia="en-GB"/>
              </w:rPr>
              <w:t>&gt;200</w:t>
            </w:r>
          </w:p>
        </w:tc>
        <w:tc>
          <w:tcPr>
            <w:tcW w:w="858" w:type="dxa"/>
            <w:tcBorders>
              <w:top w:val="nil"/>
              <w:left w:val="nil"/>
              <w:bottom w:val="single" w:sz="4" w:space="0" w:color="auto"/>
              <w:right w:val="single" w:sz="4" w:space="0" w:color="auto"/>
            </w:tcBorders>
            <w:shd w:val="clear" w:color="auto" w:fill="auto"/>
            <w:noWrap/>
            <w:vAlign w:val="bottom"/>
            <w:hideMark/>
          </w:tcPr>
          <w:p w14:paraId="5B092D4F"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w:t>
            </w:r>
          </w:p>
        </w:tc>
        <w:tc>
          <w:tcPr>
            <w:tcW w:w="900" w:type="dxa"/>
            <w:tcBorders>
              <w:top w:val="nil"/>
              <w:left w:val="nil"/>
              <w:bottom w:val="single" w:sz="4" w:space="0" w:color="auto"/>
              <w:right w:val="single" w:sz="4" w:space="0" w:color="auto"/>
            </w:tcBorders>
            <w:shd w:val="clear" w:color="auto" w:fill="auto"/>
            <w:noWrap/>
            <w:vAlign w:val="center"/>
            <w:hideMark/>
          </w:tcPr>
          <w:p w14:paraId="0A1C21D2"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-30.43</w:t>
            </w:r>
          </w:p>
        </w:tc>
        <w:tc>
          <w:tcPr>
            <w:tcW w:w="851" w:type="dxa"/>
            <w:tcBorders>
              <w:top w:val="nil"/>
              <w:left w:val="nil"/>
              <w:bottom w:val="single" w:sz="4" w:space="0" w:color="auto"/>
              <w:right w:val="single" w:sz="4" w:space="0" w:color="auto"/>
            </w:tcBorders>
            <w:shd w:val="clear" w:color="auto" w:fill="auto"/>
            <w:noWrap/>
            <w:vAlign w:val="center"/>
            <w:hideMark/>
          </w:tcPr>
          <w:p w14:paraId="744A1AE6"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-50.41</w:t>
            </w:r>
          </w:p>
        </w:tc>
        <w:tc>
          <w:tcPr>
            <w:tcW w:w="850" w:type="dxa"/>
            <w:tcBorders>
              <w:top w:val="nil"/>
              <w:left w:val="nil"/>
              <w:bottom w:val="single" w:sz="4" w:space="0" w:color="auto"/>
              <w:right w:val="single" w:sz="4" w:space="0" w:color="auto"/>
            </w:tcBorders>
            <w:shd w:val="clear" w:color="auto" w:fill="auto"/>
            <w:noWrap/>
            <w:vAlign w:val="center"/>
            <w:hideMark/>
          </w:tcPr>
          <w:p w14:paraId="59F6F0CD"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47.35</w:t>
            </w:r>
          </w:p>
        </w:tc>
        <w:tc>
          <w:tcPr>
            <w:tcW w:w="1387" w:type="dxa"/>
            <w:tcBorders>
              <w:top w:val="nil"/>
              <w:left w:val="nil"/>
              <w:bottom w:val="single" w:sz="4" w:space="0" w:color="auto"/>
              <w:right w:val="single" w:sz="4" w:space="0" w:color="auto"/>
            </w:tcBorders>
            <w:shd w:val="clear" w:color="auto" w:fill="auto"/>
            <w:noWrap/>
            <w:vAlign w:val="center"/>
            <w:hideMark/>
          </w:tcPr>
          <w:p w14:paraId="7180BD10"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0.07494718</w:t>
            </w:r>
          </w:p>
        </w:tc>
        <w:tc>
          <w:tcPr>
            <w:tcW w:w="704" w:type="dxa"/>
            <w:tcBorders>
              <w:top w:val="nil"/>
              <w:left w:val="nil"/>
              <w:bottom w:val="single" w:sz="4" w:space="0" w:color="auto"/>
              <w:right w:val="single" w:sz="4" w:space="0" w:color="auto"/>
            </w:tcBorders>
            <w:shd w:val="clear" w:color="auto" w:fill="auto"/>
            <w:noWrap/>
            <w:vAlign w:val="bottom"/>
            <w:hideMark/>
          </w:tcPr>
          <w:p w14:paraId="72E211C9"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65D13957"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Parietal</w:t>
            </w:r>
          </w:p>
        </w:tc>
        <w:tc>
          <w:tcPr>
            <w:tcW w:w="2523" w:type="dxa"/>
            <w:tcBorders>
              <w:top w:val="nil"/>
              <w:left w:val="nil"/>
              <w:bottom w:val="single" w:sz="4" w:space="0" w:color="auto"/>
              <w:right w:val="single" w:sz="4" w:space="0" w:color="auto"/>
            </w:tcBorders>
            <w:shd w:val="clear" w:color="auto" w:fill="auto"/>
            <w:noWrap/>
            <w:vAlign w:val="bottom"/>
            <w:hideMark/>
          </w:tcPr>
          <w:p w14:paraId="2691990C"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Superior Parietal Lobule</w:t>
            </w:r>
          </w:p>
        </w:tc>
        <w:tc>
          <w:tcPr>
            <w:tcW w:w="473" w:type="dxa"/>
            <w:tcBorders>
              <w:top w:val="nil"/>
              <w:left w:val="nil"/>
              <w:bottom w:val="single" w:sz="4" w:space="0" w:color="auto"/>
              <w:right w:val="single" w:sz="4" w:space="0" w:color="auto"/>
            </w:tcBorders>
            <w:shd w:val="clear" w:color="auto" w:fill="auto"/>
            <w:noWrap/>
            <w:vAlign w:val="bottom"/>
            <w:hideMark/>
          </w:tcPr>
          <w:p w14:paraId="3AA91E0D"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7</w:t>
            </w:r>
          </w:p>
        </w:tc>
      </w:tr>
      <w:tr w:rsidR="00502F34" w:rsidRPr="00502F34" w14:paraId="2042AEE7"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6E76C772"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5DCE5CB8"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auto"/>
            <w:noWrap/>
            <w:vAlign w:val="center"/>
            <w:hideMark/>
          </w:tcPr>
          <w:p w14:paraId="50C7E5DF"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-28.26</w:t>
            </w:r>
          </w:p>
        </w:tc>
        <w:tc>
          <w:tcPr>
            <w:tcW w:w="851" w:type="dxa"/>
            <w:tcBorders>
              <w:top w:val="nil"/>
              <w:left w:val="nil"/>
              <w:bottom w:val="single" w:sz="4" w:space="0" w:color="auto"/>
              <w:right w:val="single" w:sz="4" w:space="0" w:color="auto"/>
            </w:tcBorders>
            <w:shd w:val="clear" w:color="auto" w:fill="auto"/>
            <w:noWrap/>
            <w:vAlign w:val="center"/>
            <w:hideMark/>
          </w:tcPr>
          <w:p w14:paraId="1FCA6C7D"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-58.86</w:t>
            </w:r>
          </w:p>
        </w:tc>
        <w:tc>
          <w:tcPr>
            <w:tcW w:w="850" w:type="dxa"/>
            <w:tcBorders>
              <w:top w:val="nil"/>
              <w:left w:val="nil"/>
              <w:bottom w:val="single" w:sz="4" w:space="0" w:color="auto"/>
              <w:right w:val="single" w:sz="4" w:space="0" w:color="auto"/>
            </w:tcBorders>
            <w:shd w:val="clear" w:color="auto" w:fill="auto"/>
            <w:noWrap/>
            <w:vAlign w:val="center"/>
            <w:hideMark/>
          </w:tcPr>
          <w:p w14:paraId="33B0AE09"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48.03</w:t>
            </w:r>
          </w:p>
        </w:tc>
        <w:tc>
          <w:tcPr>
            <w:tcW w:w="1387" w:type="dxa"/>
            <w:tcBorders>
              <w:top w:val="nil"/>
              <w:left w:val="nil"/>
              <w:bottom w:val="single" w:sz="4" w:space="0" w:color="auto"/>
              <w:right w:val="single" w:sz="4" w:space="0" w:color="auto"/>
            </w:tcBorders>
            <w:shd w:val="clear" w:color="auto" w:fill="auto"/>
            <w:noWrap/>
            <w:vAlign w:val="center"/>
            <w:hideMark/>
          </w:tcPr>
          <w:p w14:paraId="1C1152B5"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0.06795954</w:t>
            </w:r>
          </w:p>
        </w:tc>
        <w:tc>
          <w:tcPr>
            <w:tcW w:w="704" w:type="dxa"/>
            <w:tcBorders>
              <w:top w:val="nil"/>
              <w:left w:val="nil"/>
              <w:bottom w:val="single" w:sz="4" w:space="0" w:color="auto"/>
              <w:right w:val="single" w:sz="4" w:space="0" w:color="auto"/>
            </w:tcBorders>
            <w:shd w:val="clear" w:color="auto" w:fill="auto"/>
            <w:noWrap/>
            <w:vAlign w:val="bottom"/>
            <w:hideMark/>
          </w:tcPr>
          <w:p w14:paraId="5F9EAF83"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65C0128C"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Parietal</w:t>
            </w:r>
          </w:p>
        </w:tc>
        <w:tc>
          <w:tcPr>
            <w:tcW w:w="2523" w:type="dxa"/>
            <w:tcBorders>
              <w:top w:val="nil"/>
              <w:left w:val="nil"/>
              <w:bottom w:val="single" w:sz="4" w:space="0" w:color="auto"/>
              <w:right w:val="single" w:sz="4" w:space="0" w:color="auto"/>
            </w:tcBorders>
            <w:shd w:val="clear" w:color="auto" w:fill="auto"/>
            <w:noWrap/>
            <w:vAlign w:val="bottom"/>
            <w:hideMark/>
          </w:tcPr>
          <w:p w14:paraId="14947C86"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Superior Parietal Lobule</w:t>
            </w:r>
          </w:p>
        </w:tc>
        <w:tc>
          <w:tcPr>
            <w:tcW w:w="473" w:type="dxa"/>
            <w:tcBorders>
              <w:top w:val="nil"/>
              <w:left w:val="nil"/>
              <w:bottom w:val="single" w:sz="4" w:space="0" w:color="auto"/>
              <w:right w:val="single" w:sz="4" w:space="0" w:color="auto"/>
            </w:tcBorders>
            <w:shd w:val="clear" w:color="auto" w:fill="auto"/>
            <w:noWrap/>
            <w:vAlign w:val="bottom"/>
            <w:hideMark/>
          </w:tcPr>
          <w:p w14:paraId="1F79D73B"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7</w:t>
            </w:r>
          </w:p>
        </w:tc>
      </w:tr>
      <w:tr w:rsidR="00502F34" w:rsidRPr="00502F34" w14:paraId="3BB92CEA"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393C9DCC"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657E78B1"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auto"/>
            <w:noWrap/>
            <w:vAlign w:val="center"/>
            <w:hideMark/>
          </w:tcPr>
          <w:p w14:paraId="3FE9197C"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-45.45</w:t>
            </w:r>
          </w:p>
        </w:tc>
        <w:tc>
          <w:tcPr>
            <w:tcW w:w="851" w:type="dxa"/>
            <w:tcBorders>
              <w:top w:val="nil"/>
              <w:left w:val="nil"/>
              <w:bottom w:val="single" w:sz="4" w:space="0" w:color="auto"/>
              <w:right w:val="single" w:sz="4" w:space="0" w:color="auto"/>
            </w:tcBorders>
            <w:shd w:val="clear" w:color="auto" w:fill="auto"/>
            <w:noWrap/>
            <w:vAlign w:val="center"/>
            <w:hideMark/>
          </w:tcPr>
          <w:p w14:paraId="6C837533"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-37.98</w:t>
            </w:r>
          </w:p>
        </w:tc>
        <w:tc>
          <w:tcPr>
            <w:tcW w:w="850" w:type="dxa"/>
            <w:tcBorders>
              <w:top w:val="nil"/>
              <w:left w:val="nil"/>
              <w:bottom w:val="single" w:sz="4" w:space="0" w:color="auto"/>
              <w:right w:val="single" w:sz="4" w:space="0" w:color="auto"/>
            </w:tcBorders>
            <w:shd w:val="clear" w:color="auto" w:fill="auto"/>
            <w:noWrap/>
            <w:vAlign w:val="center"/>
            <w:hideMark/>
          </w:tcPr>
          <w:p w14:paraId="0A34067D"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44.25</w:t>
            </w:r>
          </w:p>
        </w:tc>
        <w:tc>
          <w:tcPr>
            <w:tcW w:w="1387" w:type="dxa"/>
            <w:tcBorders>
              <w:top w:val="nil"/>
              <w:left w:val="nil"/>
              <w:bottom w:val="single" w:sz="4" w:space="0" w:color="auto"/>
              <w:right w:val="single" w:sz="4" w:space="0" w:color="auto"/>
            </w:tcBorders>
            <w:shd w:val="clear" w:color="auto" w:fill="auto"/>
            <w:noWrap/>
            <w:vAlign w:val="center"/>
            <w:hideMark/>
          </w:tcPr>
          <w:p w14:paraId="08E99EB0"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0.0644993</w:t>
            </w:r>
          </w:p>
        </w:tc>
        <w:tc>
          <w:tcPr>
            <w:tcW w:w="704" w:type="dxa"/>
            <w:tcBorders>
              <w:top w:val="nil"/>
              <w:left w:val="nil"/>
              <w:bottom w:val="single" w:sz="4" w:space="0" w:color="auto"/>
              <w:right w:val="single" w:sz="4" w:space="0" w:color="auto"/>
            </w:tcBorders>
            <w:shd w:val="clear" w:color="auto" w:fill="auto"/>
            <w:noWrap/>
            <w:vAlign w:val="bottom"/>
            <w:hideMark/>
          </w:tcPr>
          <w:p w14:paraId="05797F09"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210B3F7C"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Parietal</w:t>
            </w:r>
          </w:p>
        </w:tc>
        <w:tc>
          <w:tcPr>
            <w:tcW w:w="2523" w:type="dxa"/>
            <w:tcBorders>
              <w:top w:val="nil"/>
              <w:left w:val="nil"/>
              <w:bottom w:val="single" w:sz="4" w:space="0" w:color="auto"/>
              <w:right w:val="single" w:sz="4" w:space="0" w:color="auto"/>
            </w:tcBorders>
            <w:shd w:val="clear" w:color="auto" w:fill="auto"/>
            <w:noWrap/>
            <w:vAlign w:val="bottom"/>
            <w:hideMark/>
          </w:tcPr>
          <w:p w14:paraId="478F28E6"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Inferior Parietal Lobule</w:t>
            </w:r>
          </w:p>
        </w:tc>
        <w:tc>
          <w:tcPr>
            <w:tcW w:w="473" w:type="dxa"/>
            <w:tcBorders>
              <w:top w:val="nil"/>
              <w:left w:val="nil"/>
              <w:bottom w:val="single" w:sz="4" w:space="0" w:color="auto"/>
              <w:right w:val="single" w:sz="4" w:space="0" w:color="auto"/>
            </w:tcBorders>
            <w:shd w:val="clear" w:color="auto" w:fill="auto"/>
            <w:noWrap/>
            <w:vAlign w:val="bottom"/>
            <w:hideMark/>
          </w:tcPr>
          <w:p w14:paraId="5A20E9E0"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40</w:t>
            </w:r>
          </w:p>
        </w:tc>
      </w:tr>
      <w:tr w:rsidR="00502F34" w:rsidRPr="00502F34" w14:paraId="011C6864"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49FCCE1F"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027C4F2F"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w:t>
            </w:r>
          </w:p>
        </w:tc>
        <w:tc>
          <w:tcPr>
            <w:tcW w:w="900" w:type="dxa"/>
            <w:tcBorders>
              <w:top w:val="nil"/>
              <w:left w:val="nil"/>
              <w:bottom w:val="single" w:sz="4" w:space="0" w:color="auto"/>
              <w:right w:val="single" w:sz="4" w:space="0" w:color="auto"/>
            </w:tcBorders>
            <w:shd w:val="clear" w:color="auto" w:fill="auto"/>
            <w:noWrap/>
            <w:vAlign w:val="center"/>
            <w:hideMark/>
          </w:tcPr>
          <w:p w14:paraId="75F68255"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-4.98</w:t>
            </w:r>
          </w:p>
        </w:tc>
        <w:tc>
          <w:tcPr>
            <w:tcW w:w="851" w:type="dxa"/>
            <w:tcBorders>
              <w:top w:val="nil"/>
              <w:left w:val="nil"/>
              <w:bottom w:val="single" w:sz="4" w:space="0" w:color="auto"/>
              <w:right w:val="single" w:sz="4" w:space="0" w:color="auto"/>
            </w:tcBorders>
            <w:shd w:val="clear" w:color="auto" w:fill="auto"/>
            <w:noWrap/>
            <w:vAlign w:val="center"/>
            <w:hideMark/>
          </w:tcPr>
          <w:p w14:paraId="0CF2E2EE"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15.82</w:t>
            </w:r>
          </w:p>
        </w:tc>
        <w:tc>
          <w:tcPr>
            <w:tcW w:w="850" w:type="dxa"/>
            <w:tcBorders>
              <w:top w:val="nil"/>
              <w:left w:val="nil"/>
              <w:bottom w:val="single" w:sz="4" w:space="0" w:color="auto"/>
              <w:right w:val="single" w:sz="4" w:space="0" w:color="auto"/>
            </w:tcBorders>
            <w:shd w:val="clear" w:color="auto" w:fill="auto"/>
            <w:noWrap/>
            <w:vAlign w:val="center"/>
            <w:hideMark/>
          </w:tcPr>
          <w:p w14:paraId="5CF88C2A"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48.19</w:t>
            </w:r>
          </w:p>
        </w:tc>
        <w:tc>
          <w:tcPr>
            <w:tcW w:w="1387" w:type="dxa"/>
            <w:tcBorders>
              <w:top w:val="nil"/>
              <w:left w:val="nil"/>
              <w:bottom w:val="single" w:sz="4" w:space="0" w:color="auto"/>
              <w:right w:val="single" w:sz="4" w:space="0" w:color="auto"/>
            </w:tcBorders>
            <w:shd w:val="clear" w:color="auto" w:fill="auto"/>
            <w:noWrap/>
            <w:vAlign w:val="center"/>
            <w:hideMark/>
          </w:tcPr>
          <w:p w14:paraId="462620F1"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0.07429182</w:t>
            </w:r>
          </w:p>
        </w:tc>
        <w:tc>
          <w:tcPr>
            <w:tcW w:w="704" w:type="dxa"/>
            <w:tcBorders>
              <w:top w:val="nil"/>
              <w:left w:val="nil"/>
              <w:bottom w:val="single" w:sz="4" w:space="0" w:color="auto"/>
              <w:right w:val="single" w:sz="4" w:space="0" w:color="auto"/>
            </w:tcBorders>
            <w:shd w:val="clear" w:color="auto" w:fill="auto"/>
            <w:noWrap/>
            <w:vAlign w:val="bottom"/>
            <w:hideMark/>
          </w:tcPr>
          <w:p w14:paraId="3FCA96CA"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5A07AA09"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7312EF43"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Superior Frontal Gyrus</w:t>
            </w:r>
          </w:p>
        </w:tc>
        <w:tc>
          <w:tcPr>
            <w:tcW w:w="473" w:type="dxa"/>
            <w:tcBorders>
              <w:top w:val="nil"/>
              <w:left w:val="nil"/>
              <w:bottom w:val="single" w:sz="4" w:space="0" w:color="auto"/>
              <w:right w:val="single" w:sz="4" w:space="0" w:color="auto"/>
            </w:tcBorders>
            <w:shd w:val="clear" w:color="auto" w:fill="auto"/>
            <w:noWrap/>
            <w:vAlign w:val="bottom"/>
            <w:hideMark/>
          </w:tcPr>
          <w:p w14:paraId="3871CEEF"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6</w:t>
            </w:r>
          </w:p>
        </w:tc>
      </w:tr>
      <w:tr w:rsidR="00502F34" w:rsidRPr="00502F34" w14:paraId="45F3862E"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39DD7555"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7FEB0FC6"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auto"/>
            <w:noWrap/>
            <w:vAlign w:val="center"/>
            <w:hideMark/>
          </w:tcPr>
          <w:p w14:paraId="77C918AF"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5.73</w:t>
            </w:r>
          </w:p>
        </w:tc>
        <w:tc>
          <w:tcPr>
            <w:tcW w:w="851" w:type="dxa"/>
            <w:tcBorders>
              <w:top w:val="nil"/>
              <w:left w:val="nil"/>
              <w:bottom w:val="single" w:sz="4" w:space="0" w:color="auto"/>
              <w:right w:val="single" w:sz="4" w:space="0" w:color="auto"/>
            </w:tcBorders>
            <w:shd w:val="clear" w:color="auto" w:fill="auto"/>
            <w:noWrap/>
            <w:vAlign w:val="center"/>
            <w:hideMark/>
          </w:tcPr>
          <w:p w14:paraId="78C4F838"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13.94</w:t>
            </w:r>
          </w:p>
        </w:tc>
        <w:tc>
          <w:tcPr>
            <w:tcW w:w="850" w:type="dxa"/>
            <w:tcBorders>
              <w:top w:val="nil"/>
              <w:left w:val="nil"/>
              <w:bottom w:val="single" w:sz="4" w:space="0" w:color="auto"/>
              <w:right w:val="single" w:sz="4" w:space="0" w:color="auto"/>
            </w:tcBorders>
            <w:shd w:val="clear" w:color="auto" w:fill="auto"/>
            <w:noWrap/>
            <w:vAlign w:val="center"/>
            <w:hideMark/>
          </w:tcPr>
          <w:p w14:paraId="377365EB"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50.46</w:t>
            </w:r>
          </w:p>
        </w:tc>
        <w:tc>
          <w:tcPr>
            <w:tcW w:w="1387" w:type="dxa"/>
            <w:tcBorders>
              <w:top w:val="nil"/>
              <w:left w:val="nil"/>
              <w:bottom w:val="single" w:sz="4" w:space="0" w:color="auto"/>
              <w:right w:val="single" w:sz="4" w:space="0" w:color="auto"/>
            </w:tcBorders>
            <w:shd w:val="clear" w:color="auto" w:fill="auto"/>
            <w:noWrap/>
            <w:vAlign w:val="center"/>
            <w:hideMark/>
          </w:tcPr>
          <w:p w14:paraId="6119BFA9"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0.072859675</w:t>
            </w:r>
          </w:p>
        </w:tc>
        <w:tc>
          <w:tcPr>
            <w:tcW w:w="704" w:type="dxa"/>
            <w:tcBorders>
              <w:top w:val="nil"/>
              <w:left w:val="nil"/>
              <w:bottom w:val="single" w:sz="4" w:space="0" w:color="auto"/>
              <w:right w:val="single" w:sz="4" w:space="0" w:color="auto"/>
            </w:tcBorders>
            <w:shd w:val="clear" w:color="auto" w:fill="auto"/>
            <w:noWrap/>
            <w:vAlign w:val="bottom"/>
            <w:hideMark/>
          </w:tcPr>
          <w:p w14:paraId="33DAA7B0"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R</w:t>
            </w:r>
          </w:p>
        </w:tc>
        <w:tc>
          <w:tcPr>
            <w:tcW w:w="1170" w:type="dxa"/>
            <w:tcBorders>
              <w:top w:val="nil"/>
              <w:left w:val="nil"/>
              <w:bottom w:val="single" w:sz="4" w:space="0" w:color="auto"/>
              <w:right w:val="single" w:sz="4" w:space="0" w:color="auto"/>
            </w:tcBorders>
            <w:shd w:val="clear" w:color="auto" w:fill="auto"/>
            <w:noWrap/>
            <w:vAlign w:val="bottom"/>
            <w:hideMark/>
          </w:tcPr>
          <w:p w14:paraId="665FD6FD"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05C78FC4"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Superior Frontal Gyrus</w:t>
            </w:r>
          </w:p>
        </w:tc>
        <w:tc>
          <w:tcPr>
            <w:tcW w:w="473" w:type="dxa"/>
            <w:tcBorders>
              <w:top w:val="nil"/>
              <w:left w:val="nil"/>
              <w:bottom w:val="single" w:sz="4" w:space="0" w:color="auto"/>
              <w:right w:val="single" w:sz="4" w:space="0" w:color="auto"/>
            </w:tcBorders>
            <w:shd w:val="clear" w:color="auto" w:fill="auto"/>
            <w:noWrap/>
            <w:vAlign w:val="bottom"/>
            <w:hideMark/>
          </w:tcPr>
          <w:p w14:paraId="53E2FC3D"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6</w:t>
            </w:r>
          </w:p>
        </w:tc>
      </w:tr>
      <w:tr w:rsidR="00502F34" w:rsidRPr="00502F34" w14:paraId="6A27D22B"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2A6F5A45"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0CE6CE74"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w:t>
            </w:r>
          </w:p>
        </w:tc>
        <w:tc>
          <w:tcPr>
            <w:tcW w:w="900" w:type="dxa"/>
            <w:tcBorders>
              <w:top w:val="nil"/>
              <w:left w:val="nil"/>
              <w:bottom w:val="single" w:sz="4" w:space="0" w:color="auto"/>
              <w:right w:val="single" w:sz="4" w:space="0" w:color="auto"/>
            </w:tcBorders>
            <w:shd w:val="clear" w:color="auto" w:fill="auto"/>
            <w:noWrap/>
            <w:vAlign w:val="center"/>
            <w:hideMark/>
          </w:tcPr>
          <w:p w14:paraId="0D8AF343"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-45.71</w:t>
            </w:r>
          </w:p>
        </w:tc>
        <w:tc>
          <w:tcPr>
            <w:tcW w:w="851" w:type="dxa"/>
            <w:tcBorders>
              <w:top w:val="nil"/>
              <w:left w:val="nil"/>
              <w:bottom w:val="single" w:sz="4" w:space="0" w:color="auto"/>
              <w:right w:val="single" w:sz="4" w:space="0" w:color="auto"/>
            </w:tcBorders>
            <w:shd w:val="clear" w:color="auto" w:fill="auto"/>
            <w:noWrap/>
            <w:vAlign w:val="center"/>
            <w:hideMark/>
          </w:tcPr>
          <w:p w14:paraId="26A310E2"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7.69</w:t>
            </w:r>
          </w:p>
        </w:tc>
        <w:tc>
          <w:tcPr>
            <w:tcW w:w="850" w:type="dxa"/>
            <w:tcBorders>
              <w:top w:val="nil"/>
              <w:left w:val="nil"/>
              <w:bottom w:val="single" w:sz="4" w:space="0" w:color="auto"/>
              <w:right w:val="single" w:sz="4" w:space="0" w:color="auto"/>
            </w:tcBorders>
            <w:shd w:val="clear" w:color="auto" w:fill="auto"/>
            <w:noWrap/>
            <w:vAlign w:val="center"/>
            <w:hideMark/>
          </w:tcPr>
          <w:p w14:paraId="58CB62C6"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29.27</w:t>
            </w:r>
          </w:p>
        </w:tc>
        <w:tc>
          <w:tcPr>
            <w:tcW w:w="1387" w:type="dxa"/>
            <w:tcBorders>
              <w:top w:val="nil"/>
              <w:left w:val="nil"/>
              <w:bottom w:val="single" w:sz="4" w:space="0" w:color="auto"/>
              <w:right w:val="single" w:sz="4" w:space="0" w:color="auto"/>
            </w:tcBorders>
            <w:shd w:val="clear" w:color="auto" w:fill="auto"/>
            <w:noWrap/>
            <w:vAlign w:val="center"/>
            <w:hideMark/>
          </w:tcPr>
          <w:p w14:paraId="0D993A5F"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0.08323778</w:t>
            </w:r>
          </w:p>
        </w:tc>
        <w:tc>
          <w:tcPr>
            <w:tcW w:w="704" w:type="dxa"/>
            <w:tcBorders>
              <w:top w:val="nil"/>
              <w:left w:val="nil"/>
              <w:bottom w:val="single" w:sz="4" w:space="0" w:color="auto"/>
              <w:right w:val="single" w:sz="4" w:space="0" w:color="auto"/>
            </w:tcBorders>
            <w:shd w:val="clear" w:color="auto" w:fill="auto"/>
            <w:noWrap/>
            <w:vAlign w:val="bottom"/>
            <w:hideMark/>
          </w:tcPr>
          <w:p w14:paraId="4A610C54"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0822C6BD"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392EFA6E"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Inferior Frontal Gyrus</w:t>
            </w:r>
          </w:p>
        </w:tc>
        <w:tc>
          <w:tcPr>
            <w:tcW w:w="473" w:type="dxa"/>
            <w:tcBorders>
              <w:top w:val="nil"/>
              <w:left w:val="nil"/>
              <w:bottom w:val="single" w:sz="4" w:space="0" w:color="auto"/>
              <w:right w:val="single" w:sz="4" w:space="0" w:color="auto"/>
            </w:tcBorders>
            <w:shd w:val="clear" w:color="auto" w:fill="auto"/>
            <w:noWrap/>
            <w:vAlign w:val="bottom"/>
            <w:hideMark/>
          </w:tcPr>
          <w:p w14:paraId="5A4A2986"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9</w:t>
            </w:r>
          </w:p>
        </w:tc>
      </w:tr>
      <w:tr w:rsidR="00502F34" w:rsidRPr="00502F34" w14:paraId="579CBCF0"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14B6A952"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3E8A5F45"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w:t>
            </w:r>
          </w:p>
        </w:tc>
        <w:tc>
          <w:tcPr>
            <w:tcW w:w="900" w:type="dxa"/>
            <w:tcBorders>
              <w:top w:val="nil"/>
              <w:left w:val="nil"/>
              <w:bottom w:val="single" w:sz="4" w:space="0" w:color="auto"/>
              <w:right w:val="single" w:sz="4" w:space="0" w:color="auto"/>
            </w:tcBorders>
            <w:shd w:val="clear" w:color="auto" w:fill="auto"/>
            <w:noWrap/>
            <w:vAlign w:val="center"/>
            <w:hideMark/>
          </w:tcPr>
          <w:p w14:paraId="5D75A18C"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48.29</w:t>
            </w:r>
          </w:p>
        </w:tc>
        <w:tc>
          <w:tcPr>
            <w:tcW w:w="851" w:type="dxa"/>
            <w:tcBorders>
              <w:top w:val="nil"/>
              <w:left w:val="nil"/>
              <w:bottom w:val="single" w:sz="4" w:space="0" w:color="auto"/>
              <w:right w:val="single" w:sz="4" w:space="0" w:color="auto"/>
            </w:tcBorders>
            <w:shd w:val="clear" w:color="auto" w:fill="auto"/>
            <w:noWrap/>
            <w:vAlign w:val="center"/>
            <w:hideMark/>
          </w:tcPr>
          <w:p w14:paraId="04C35CA4"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14.42</w:t>
            </w:r>
          </w:p>
        </w:tc>
        <w:tc>
          <w:tcPr>
            <w:tcW w:w="850" w:type="dxa"/>
            <w:tcBorders>
              <w:top w:val="nil"/>
              <w:left w:val="nil"/>
              <w:bottom w:val="single" w:sz="4" w:space="0" w:color="auto"/>
              <w:right w:val="single" w:sz="4" w:space="0" w:color="auto"/>
            </w:tcBorders>
            <w:shd w:val="clear" w:color="auto" w:fill="auto"/>
            <w:noWrap/>
            <w:vAlign w:val="center"/>
            <w:hideMark/>
          </w:tcPr>
          <w:p w14:paraId="55C5BED1"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25.39</w:t>
            </w:r>
          </w:p>
        </w:tc>
        <w:tc>
          <w:tcPr>
            <w:tcW w:w="1387" w:type="dxa"/>
            <w:tcBorders>
              <w:top w:val="nil"/>
              <w:left w:val="nil"/>
              <w:bottom w:val="single" w:sz="4" w:space="0" w:color="auto"/>
              <w:right w:val="single" w:sz="4" w:space="0" w:color="auto"/>
            </w:tcBorders>
            <w:shd w:val="clear" w:color="auto" w:fill="auto"/>
            <w:noWrap/>
            <w:vAlign w:val="center"/>
            <w:hideMark/>
          </w:tcPr>
          <w:p w14:paraId="1E363D75"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0.07794736</w:t>
            </w:r>
          </w:p>
        </w:tc>
        <w:tc>
          <w:tcPr>
            <w:tcW w:w="704" w:type="dxa"/>
            <w:tcBorders>
              <w:top w:val="nil"/>
              <w:left w:val="nil"/>
              <w:bottom w:val="single" w:sz="4" w:space="0" w:color="auto"/>
              <w:right w:val="single" w:sz="4" w:space="0" w:color="auto"/>
            </w:tcBorders>
            <w:shd w:val="clear" w:color="auto" w:fill="auto"/>
            <w:noWrap/>
            <w:vAlign w:val="bottom"/>
            <w:hideMark/>
          </w:tcPr>
          <w:p w14:paraId="21E069B4"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R</w:t>
            </w:r>
          </w:p>
        </w:tc>
        <w:tc>
          <w:tcPr>
            <w:tcW w:w="1170" w:type="dxa"/>
            <w:tcBorders>
              <w:top w:val="nil"/>
              <w:left w:val="nil"/>
              <w:bottom w:val="single" w:sz="4" w:space="0" w:color="auto"/>
              <w:right w:val="single" w:sz="4" w:space="0" w:color="auto"/>
            </w:tcBorders>
            <w:shd w:val="clear" w:color="auto" w:fill="auto"/>
            <w:noWrap/>
            <w:vAlign w:val="bottom"/>
            <w:hideMark/>
          </w:tcPr>
          <w:p w14:paraId="3943DAB5"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xml:space="preserve">Frontal </w:t>
            </w:r>
          </w:p>
        </w:tc>
        <w:tc>
          <w:tcPr>
            <w:tcW w:w="2523" w:type="dxa"/>
            <w:tcBorders>
              <w:top w:val="nil"/>
              <w:left w:val="nil"/>
              <w:bottom w:val="single" w:sz="4" w:space="0" w:color="auto"/>
              <w:right w:val="single" w:sz="4" w:space="0" w:color="auto"/>
            </w:tcBorders>
            <w:shd w:val="clear" w:color="auto" w:fill="auto"/>
            <w:noWrap/>
            <w:vAlign w:val="bottom"/>
            <w:hideMark/>
          </w:tcPr>
          <w:p w14:paraId="7B2A340E"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Inferior Frontal Gyrus</w:t>
            </w:r>
          </w:p>
        </w:tc>
        <w:tc>
          <w:tcPr>
            <w:tcW w:w="473" w:type="dxa"/>
            <w:tcBorders>
              <w:top w:val="nil"/>
              <w:left w:val="nil"/>
              <w:bottom w:val="single" w:sz="4" w:space="0" w:color="auto"/>
              <w:right w:val="single" w:sz="4" w:space="0" w:color="auto"/>
            </w:tcBorders>
            <w:shd w:val="clear" w:color="auto" w:fill="auto"/>
            <w:noWrap/>
            <w:vAlign w:val="bottom"/>
            <w:hideMark/>
          </w:tcPr>
          <w:p w14:paraId="1D1C0947"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9</w:t>
            </w:r>
          </w:p>
        </w:tc>
      </w:tr>
      <w:tr w:rsidR="00502F34" w:rsidRPr="00502F34" w14:paraId="4E47B6A7"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33091C5A"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7F918860"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6</w:t>
            </w:r>
          </w:p>
        </w:tc>
        <w:tc>
          <w:tcPr>
            <w:tcW w:w="900" w:type="dxa"/>
            <w:tcBorders>
              <w:top w:val="nil"/>
              <w:left w:val="nil"/>
              <w:bottom w:val="single" w:sz="4" w:space="0" w:color="auto"/>
              <w:right w:val="single" w:sz="4" w:space="0" w:color="auto"/>
            </w:tcBorders>
            <w:shd w:val="clear" w:color="auto" w:fill="auto"/>
            <w:noWrap/>
            <w:vAlign w:val="center"/>
            <w:hideMark/>
          </w:tcPr>
          <w:p w14:paraId="0D29C95B"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35.23</w:t>
            </w:r>
          </w:p>
        </w:tc>
        <w:tc>
          <w:tcPr>
            <w:tcW w:w="851" w:type="dxa"/>
            <w:tcBorders>
              <w:top w:val="nil"/>
              <w:left w:val="nil"/>
              <w:bottom w:val="single" w:sz="4" w:space="0" w:color="auto"/>
              <w:right w:val="single" w:sz="4" w:space="0" w:color="auto"/>
            </w:tcBorders>
            <w:shd w:val="clear" w:color="auto" w:fill="auto"/>
            <w:noWrap/>
            <w:vAlign w:val="center"/>
            <w:hideMark/>
          </w:tcPr>
          <w:p w14:paraId="171E72EA"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22.86</w:t>
            </w:r>
          </w:p>
        </w:tc>
        <w:tc>
          <w:tcPr>
            <w:tcW w:w="850" w:type="dxa"/>
            <w:tcBorders>
              <w:top w:val="nil"/>
              <w:left w:val="nil"/>
              <w:bottom w:val="single" w:sz="4" w:space="0" w:color="auto"/>
              <w:right w:val="single" w:sz="4" w:space="0" w:color="auto"/>
            </w:tcBorders>
            <w:shd w:val="clear" w:color="auto" w:fill="auto"/>
            <w:noWrap/>
            <w:vAlign w:val="center"/>
            <w:hideMark/>
          </w:tcPr>
          <w:p w14:paraId="062B4018"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-1.93</w:t>
            </w:r>
          </w:p>
        </w:tc>
        <w:tc>
          <w:tcPr>
            <w:tcW w:w="1387" w:type="dxa"/>
            <w:tcBorders>
              <w:top w:val="nil"/>
              <w:left w:val="nil"/>
              <w:bottom w:val="single" w:sz="4" w:space="0" w:color="auto"/>
              <w:right w:val="single" w:sz="4" w:space="0" w:color="auto"/>
            </w:tcBorders>
            <w:shd w:val="clear" w:color="auto" w:fill="auto"/>
            <w:noWrap/>
            <w:vAlign w:val="center"/>
            <w:hideMark/>
          </w:tcPr>
          <w:p w14:paraId="44469E54"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0.07916224</w:t>
            </w:r>
          </w:p>
        </w:tc>
        <w:tc>
          <w:tcPr>
            <w:tcW w:w="704" w:type="dxa"/>
            <w:tcBorders>
              <w:top w:val="nil"/>
              <w:left w:val="nil"/>
              <w:bottom w:val="single" w:sz="4" w:space="0" w:color="auto"/>
              <w:right w:val="single" w:sz="4" w:space="0" w:color="auto"/>
            </w:tcBorders>
            <w:shd w:val="clear" w:color="auto" w:fill="auto"/>
            <w:noWrap/>
            <w:vAlign w:val="bottom"/>
            <w:hideMark/>
          </w:tcPr>
          <w:p w14:paraId="6434CC8A"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R</w:t>
            </w:r>
          </w:p>
        </w:tc>
        <w:tc>
          <w:tcPr>
            <w:tcW w:w="1170" w:type="dxa"/>
            <w:tcBorders>
              <w:top w:val="nil"/>
              <w:left w:val="nil"/>
              <w:bottom w:val="single" w:sz="4" w:space="0" w:color="auto"/>
              <w:right w:val="single" w:sz="4" w:space="0" w:color="auto"/>
            </w:tcBorders>
            <w:shd w:val="clear" w:color="auto" w:fill="auto"/>
            <w:noWrap/>
            <w:vAlign w:val="bottom"/>
            <w:hideMark/>
          </w:tcPr>
          <w:p w14:paraId="5897A3AC"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Sub-lobar</w:t>
            </w:r>
          </w:p>
        </w:tc>
        <w:tc>
          <w:tcPr>
            <w:tcW w:w="2523" w:type="dxa"/>
            <w:tcBorders>
              <w:top w:val="nil"/>
              <w:left w:val="nil"/>
              <w:bottom w:val="single" w:sz="4" w:space="0" w:color="auto"/>
              <w:right w:val="single" w:sz="4" w:space="0" w:color="auto"/>
            </w:tcBorders>
            <w:shd w:val="clear" w:color="auto" w:fill="auto"/>
            <w:noWrap/>
            <w:vAlign w:val="bottom"/>
            <w:hideMark/>
          </w:tcPr>
          <w:p w14:paraId="4C6ED9A5"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Insula</w:t>
            </w:r>
          </w:p>
        </w:tc>
        <w:tc>
          <w:tcPr>
            <w:tcW w:w="473" w:type="dxa"/>
            <w:tcBorders>
              <w:top w:val="nil"/>
              <w:left w:val="nil"/>
              <w:bottom w:val="single" w:sz="4" w:space="0" w:color="auto"/>
              <w:right w:val="single" w:sz="4" w:space="0" w:color="auto"/>
            </w:tcBorders>
            <w:shd w:val="clear" w:color="auto" w:fill="auto"/>
            <w:noWrap/>
            <w:vAlign w:val="bottom"/>
            <w:hideMark/>
          </w:tcPr>
          <w:p w14:paraId="53A078D0"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13</w:t>
            </w:r>
          </w:p>
        </w:tc>
      </w:tr>
      <w:tr w:rsidR="00502F34" w:rsidRPr="00502F34" w14:paraId="61F71428"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3036FE82"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48CE92E6"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7</w:t>
            </w:r>
          </w:p>
        </w:tc>
        <w:tc>
          <w:tcPr>
            <w:tcW w:w="900" w:type="dxa"/>
            <w:tcBorders>
              <w:top w:val="nil"/>
              <w:left w:val="nil"/>
              <w:bottom w:val="single" w:sz="4" w:space="0" w:color="auto"/>
              <w:right w:val="single" w:sz="4" w:space="0" w:color="auto"/>
            </w:tcBorders>
            <w:shd w:val="clear" w:color="auto" w:fill="auto"/>
            <w:noWrap/>
            <w:vAlign w:val="center"/>
            <w:hideMark/>
          </w:tcPr>
          <w:p w14:paraId="37E65AF2"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-33.15</w:t>
            </w:r>
          </w:p>
        </w:tc>
        <w:tc>
          <w:tcPr>
            <w:tcW w:w="851" w:type="dxa"/>
            <w:tcBorders>
              <w:top w:val="nil"/>
              <w:left w:val="nil"/>
              <w:bottom w:val="single" w:sz="4" w:space="0" w:color="auto"/>
              <w:right w:val="single" w:sz="4" w:space="0" w:color="auto"/>
            </w:tcBorders>
            <w:shd w:val="clear" w:color="auto" w:fill="auto"/>
            <w:noWrap/>
            <w:vAlign w:val="center"/>
            <w:hideMark/>
          </w:tcPr>
          <w:p w14:paraId="1B3BC424"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22.63</w:t>
            </w:r>
          </w:p>
        </w:tc>
        <w:tc>
          <w:tcPr>
            <w:tcW w:w="850" w:type="dxa"/>
            <w:tcBorders>
              <w:top w:val="nil"/>
              <w:left w:val="nil"/>
              <w:bottom w:val="single" w:sz="4" w:space="0" w:color="auto"/>
              <w:right w:val="single" w:sz="4" w:space="0" w:color="auto"/>
            </w:tcBorders>
            <w:shd w:val="clear" w:color="auto" w:fill="auto"/>
            <w:noWrap/>
            <w:vAlign w:val="center"/>
            <w:hideMark/>
          </w:tcPr>
          <w:p w14:paraId="5EE064D4"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1.11</w:t>
            </w:r>
          </w:p>
        </w:tc>
        <w:tc>
          <w:tcPr>
            <w:tcW w:w="1387" w:type="dxa"/>
            <w:tcBorders>
              <w:top w:val="nil"/>
              <w:left w:val="nil"/>
              <w:bottom w:val="single" w:sz="4" w:space="0" w:color="auto"/>
              <w:right w:val="single" w:sz="4" w:space="0" w:color="auto"/>
            </w:tcBorders>
            <w:shd w:val="clear" w:color="auto" w:fill="auto"/>
            <w:noWrap/>
            <w:vAlign w:val="center"/>
            <w:hideMark/>
          </w:tcPr>
          <w:p w14:paraId="61890B5B"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0.05432502</w:t>
            </w:r>
          </w:p>
        </w:tc>
        <w:tc>
          <w:tcPr>
            <w:tcW w:w="704" w:type="dxa"/>
            <w:tcBorders>
              <w:top w:val="nil"/>
              <w:left w:val="nil"/>
              <w:bottom w:val="single" w:sz="4" w:space="0" w:color="auto"/>
              <w:right w:val="single" w:sz="4" w:space="0" w:color="auto"/>
            </w:tcBorders>
            <w:shd w:val="clear" w:color="auto" w:fill="auto"/>
            <w:noWrap/>
            <w:vAlign w:val="bottom"/>
            <w:hideMark/>
          </w:tcPr>
          <w:p w14:paraId="618582F0"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59FD2C12"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Sub-lobar</w:t>
            </w:r>
          </w:p>
        </w:tc>
        <w:tc>
          <w:tcPr>
            <w:tcW w:w="2523" w:type="dxa"/>
            <w:tcBorders>
              <w:top w:val="nil"/>
              <w:left w:val="nil"/>
              <w:bottom w:val="single" w:sz="4" w:space="0" w:color="auto"/>
              <w:right w:val="single" w:sz="4" w:space="0" w:color="auto"/>
            </w:tcBorders>
            <w:shd w:val="clear" w:color="auto" w:fill="auto"/>
            <w:noWrap/>
            <w:vAlign w:val="bottom"/>
            <w:hideMark/>
          </w:tcPr>
          <w:p w14:paraId="6090842E"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Insula</w:t>
            </w:r>
          </w:p>
        </w:tc>
        <w:tc>
          <w:tcPr>
            <w:tcW w:w="473" w:type="dxa"/>
            <w:tcBorders>
              <w:top w:val="nil"/>
              <w:left w:val="nil"/>
              <w:bottom w:val="single" w:sz="4" w:space="0" w:color="auto"/>
              <w:right w:val="single" w:sz="4" w:space="0" w:color="auto"/>
            </w:tcBorders>
            <w:shd w:val="clear" w:color="auto" w:fill="auto"/>
            <w:noWrap/>
            <w:vAlign w:val="bottom"/>
            <w:hideMark/>
          </w:tcPr>
          <w:p w14:paraId="232BCA28"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13</w:t>
            </w:r>
          </w:p>
        </w:tc>
      </w:tr>
      <w:tr w:rsidR="00502F34" w:rsidRPr="00502F34" w14:paraId="12B0F9DD"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ECD2223"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7EA39039"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8</w:t>
            </w:r>
          </w:p>
        </w:tc>
        <w:tc>
          <w:tcPr>
            <w:tcW w:w="900" w:type="dxa"/>
            <w:tcBorders>
              <w:top w:val="nil"/>
              <w:left w:val="nil"/>
              <w:bottom w:val="single" w:sz="4" w:space="0" w:color="auto"/>
              <w:right w:val="single" w:sz="4" w:space="0" w:color="auto"/>
            </w:tcBorders>
            <w:shd w:val="clear" w:color="auto" w:fill="auto"/>
            <w:noWrap/>
            <w:vAlign w:val="center"/>
            <w:hideMark/>
          </w:tcPr>
          <w:p w14:paraId="63E0D00B"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-26.24</w:t>
            </w:r>
          </w:p>
        </w:tc>
        <w:tc>
          <w:tcPr>
            <w:tcW w:w="851" w:type="dxa"/>
            <w:tcBorders>
              <w:top w:val="nil"/>
              <w:left w:val="nil"/>
              <w:bottom w:val="single" w:sz="4" w:space="0" w:color="auto"/>
              <w:right w:val="single" w:sz="4" w:space="0" w:color="auto"/>
            </w:tcBorders>
            <w:shd w:val="clear" w:color="auto" w:fill="auto"/>
            <w:noWrap/>
            <w:vAlign w:val="center"/>
            <w:hideMark/>
          </w:tcPr>
          <w:p w14:paraId="429A2138"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w:t>
            </w:r>
          </w:p>
        </w:tc>
        <w:tc>
          <w:tcPr>
            <w:tcW w:w="850" w:type="dxa"/>
            <w:tcBorders>
              <w:top w:val="nil"/>
              <w:left w:val="nil"/>
              <w:bottom w:val="single" w:sz="4" w:space="0" w:color="auto"/>
              <w:right w:val="single" w:sz="4" w:space="0" w:color="auto"/>
            </w:tcBorders>
            <w:shd w:val="clear" w:color="auto" w:fill="auto"/>
            <w:noWrap/>
            <w:vAlign w:val="center"/>
            <w:hideMark/>
          </w:tcPr>
          <w:p w14:paraId="2DF93869"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54.48</w:t>
            </w:r>
          </w:p>
        </w:tc>
        <w:tc>
          <w:tcPr>
            <w:tcW w:w="1387" w:type="dxa"/>
            <w:tcBorders>
              <w:top w:val="nil"/>
              <w:left w:val="nil"/>
              <w:bottom w:val="single" w:sz="4" w:space="0" w:color="auto"/>
              <w:right w:val="single" w:sz="4" w:space="0" w:color="auto"/>
            </w:tcBorders>
            <w:shd w:val="clear" w:color="auto" w:fill="auto"/>
            <w:noWrap/>
            <w:vAlign w:val="center"/>
            <w:hideMark/>
          </w:tcPr>
          <w:p w14:paraId="4CF5F088"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0.0652489</w:t>
            </w:r>
          </w:p>
        </w:tc>
        <w:tc>
          <w:tcPr>
            <w:tcW w:w="704" w:type="dxa"/>
            <w:tcBorders>
              <w:top w:val="nil"/>
              <w:left w:val="nil"/>
              <w:bottom w:val="single" w:sz="4" w:space="0" w:color="auto"/>
              <w:right w:val="single" w:sz="4" w:space="0" w:color="auto"/>
            </w:tcBorders>
            <w:shd w:val="clear" w:color="auto" w:fill="auto"/>
            <w:noWrap/>
            <w:vAlign w:val="bottom"/>
            <w:hideMark/>
          </w:tcPr>
          <w:p w14:paraId="121969D3"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73FD8403"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5FBE686A"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Middle Frontal Gyrus</w:t>
            </w:r>
          </w:p>
        </w:tc>
        <w:tc>
          <w:tcPr>
            <w:tcW w:w="473" w:type="dxa"/>
            <w:tcBorders>
              <w:top w:val="nil"/>
              <w:left w:val="nil"/>
              <w:bottom w:val="single" w:sz="4" w:space="0" w:color="auto"/>
              <w:right w:val="single" w:sz="4" w:space="0" w:color="auto"/>
            </w:tcBorders>
            <w:shd w:val="clear" w:color="auto" w:fill="auto"/>
            <w:noWrap/>
            <w:vAlign w:val="bottom"/>
            <w:hideMark/>
          </w:tcPr>
          <w:p w14:paraId="26B89821"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6</w:t>
            </w:r>
          </w:p>
        </w:tc>
      </w:tr>
      <w:tr w:rsidR="00502F34" w:rsidRPr="00502F34" w14:paraId="776E7838"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2A6E5EE4"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lastRenderedPageBreak/>
              <w:t> </w:t>
            </w:r>
          </w:p>
        </w:tc>
        <w:tc>
          <w:tcPr>
            <w:tcW w:w="858" w:type="dxa"/>
            <w:tcBorders>
              <w:top w:val="nil"/>
              <w:left w:val="nil"/>
              <w:bottom w:val="single" w:sz="4" w:space="0" w:color="auto"/>
              <w:right w:val="single" w:sz="4" w:space="0" w:color="auto"/>
            </w:tcBorders>
            <w:shd w:val="clear" w:color="auto" w:fill="auto"/>
            <w:noWrap/>
            <w:vAlign w:val="bottom"/>
            <w:hideMark/>
          </w:tcPr>
          <w:p w14:paraId="673B0EDE"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9</w:t>
            </w:r>
          </w:p>
        </w:tc>
        <w:tc>
          <w:tcPr>
            <w:tcW w:w="900" w:type="dxa"/>
            <w:tcBorders>
              <w:top w:val="nil"/>
              <w:left w:val="nil"/>
              <w:bottom w:val="single" w:sz="4" w:space="0" w:color="auto"/>
              <w:right w:val="single" w:sz="4" w:space="0" w:color="auto"/>
            </w:tcBorders>
            <w:shd w:val="clear" w:color="auto" w:fill="auto"/>
            <w:noWrap/>
            <w:vAlign w:val="center"/>
            <w:hideMark/>
          </w:tcPr>
          <w:p w14:paraId="5FB643C5"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-43.68</w:t>
            </w:r>
          </w:p>
        </w:tc>
        <w:tc>
          <w:tcPr>
            <w:tcW w:w="851" w:type="dxa"/>
            <w:tcBorders>
              <w:top w:val="nil"/>
              <w:left w:val="nil"/>
              <w:bottom w:val="single" w:sz="4" w:space="0" w:color="auto"/>
              <w:right w:val="single" w:sz="4" w:space="0" w:color="auto"/>
            </w:tcBorders>
            <w:shd w:val="clear" w:color="auto" w:fill="auto"/>
            <w:noWrap/>
            <w:vAlign w:val="center"/>
            <w:hideMark/>
          </w:tcPr>
          <w:p w14:paraId="6E52D6B2"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-68.15</w:t>
            </w:r>
          </w:p>
        </w:tc>
        <w:tc>
          <w:tcPr>
            <w:tcW w:w="850" w:type="dxa"/>
            <w:tcBorders>
              <w:top w:val="nil"/>
              <w:left w:val="nil"/>
              <w:bottom w:val="single" w:sz="4" w:space="0" w:color="auto"/>
              <w:right w:val="single" w:sz="4" w:space="0" w:color="auto"/>
            </w:tcBorders>
            <w:shd w:val="clear" w:color="auto" w:fill="auto"/>
            <w:noWrap/>
            <w:vAlign w:val="center"/>
            <w:hideMark/>
          </w:tcPr>
          <w:p w14:paraId="7B036DB6"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-15.69</w:t>
            </w:r>
          </w:p>
        </w:tc>
        <w:tc>
          <w:tcPr>
            <w:tcW w:w="1387" w:type="dxa"/>
            <w:tcBorders>
              <w:top w:val="nil"/>
              <w:left w:val="nil"/>
              <w:bottom w:val="single" w:sz="4" w:space="0" w:color="auto"/>
              <w:right w:val="single" w:sz="4" w:space="0" w:color="auto"/>
            </w:tcBorders>
            <w:shd w:val="clear" w:color="auto" w:fill="auto"/>
            <w:noWrap/>
            <w:vAlign w:val="center"/>
            <w:hideMark/>
          </w:tcPr>
          <w:p w14:paraId="4D94D37B"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0.04688309</w:t>
            </w:r>
          </w:p>
        </w:tc>
        <w:tc>
          <w:tcPr>
            <w:tcW w:w="704" w:type="dxa"/>
            <w:tcBorders>
              <w:top w:val="nil"/>
              <w:left w:val="nil"/>
              <w:bottom w:val="single" w:sz="4" w:space="0" w:color="auto"/>
              <w:right w:val="single" w:sz="4" w:space="0" w:color="auto"/>
            </w:tcBorders>
            <w:shd w:val="clear" w:color="auto" w:fill="auto"/>
            <w:noWrap/>
            <w:vAlign w:val="bottom"/>
            <w:hideMark/>
          </w:tcPr>
          <w:p w14:paraId="6181F2F8"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5152F367"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2523" w:type="dxa"/>
            <w:tcBorders>
              <w:top w:val="nil"/>
              <w:left w:val="nil"/>
              <w:bottom w:val="single" w:sz="4" w:space="0" w:color="auto"/>
              <w:right w:val="single" w:sz="4" w:space="0" w:color="auto"/>
            </w:tcBorders>
            <w:shd w:val="clear" w:color="auto" w:fill="auto"/>
            <w:noWrap/>
            <w:vAlign w:val="bottom"/>
            <w:hideMark/>
          </w:tcPr>
          <w:p w14:paraId="7650920D"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Cerebellum Posterior Lobe</w:t>
            </w:r>
          </w:p>
        </w:tc>
        <w:tc>
          <w:tcPr>
            <w:tcW w:w="473" w:type="dxa"/>
            <w:tcBorders>
              <w:top w:val="nil"/>
              <w:left w:val="nil"/>
              <w:bottom w:val="single" w:sz="4" w:space="0" w:color="auto"/>
              <w:right w:val="single" w:sz="4" w:space="0" w:color="auto"/>
            </w:tcBorders>
            <w:shd w:val="clear" w:color="auto" w:fill="auto"/>
            <w:noWrap/>
            <w:vAlign w:val="bottom"/>
            <w:hideMark/>
          </w:tcPr>
          <w:p w14:paraId="0C00028C"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w:t>
            </w:r>
          </w:p>
        </w:tc>
      </w:tr>
      <w:tr w:rsidR="00502F34" w:rsidRPr="00502F34" w14:paraId="22C833D7"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6406E17F"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7705A75D"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10</w:t>
            </w:r>
          </w:p>
        </w:tc>
        <w:tc>
          <w:tcPr>
            <w:tcW w:w="900" w:type="dxa"/>
            <w:tcBorders>
              <w:top w:val="nil"/>
              <w:left w:val="nil"/>
              <w:bottom w:val="single" w:sz="4" w:space="0" w:color="auto"/>
              <w:right w:val="single" w:sz="4" w:space="0" w:color="auto"/>
            </w:tcBorders>
            <w:shd w:val="clear" w:color="auto" w:fill="auto"/>
            <w:noWrap/>
            <w:vAlign w:val="center"/>
            <w:hideMark/>
          </w:tcPr>
          <w:p w14:paraId="2EF2A002"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-45.83</w:t>
            </w:r>
          </w:p>
        </w:tc>
        <w:tc>
          <w:tcPr>
            <w:tcW w:w="851" w:type="dxa"/>
            <w:tcBorders>
              <w:top w:val="nil"/>
              <w:left w:val="nil"/>
              <w:bottom w:val="single" w:sz="4" w:space="0" w:color="auto"/>
              <w:right w:val="single" w:sz="4" w:space="0" w:color="auto"/>
            </w:tcBorders>
            <w:shd w:val="clear" w:color="auto" w:fill="auto"/>
            <w:noWrap/>
            <w:vAlign w:val="center"/>
            <w:hideMark/>
          </w:tcPr>
          <w:p w14:paraId="2CF14512"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30.61</w:t>
            </w:r>
          </w:p>
        </w:tc>
        <w:tc>
          <w:tcPr>
            <w:tcW w:w="850" w:type="dxa"/>
            <w:tcBorders>
              <w:top w:val="nil"/>
              <w:left w:val="nil"/>
              <w:bottom w:val="single" w:sz="4" w:space="0" w:color="auto"/>
              <w:right w:val="single" w:sz="4" w:space="0" w:color="auto"/>
            </w:tcBorders>
            <w:shd w:val="clear" w:color="auto" w:fill="auto"/>
            <w:noWrap/>
            <w:vAlign w:val="center"/>
            <w:hideMark/>
          </w:tcPr>
          <w:p w14:paraId="3EF37CEF"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22.89</w:t>
            </w:r>
          </w:p>
        </w:tc>
        <w:tc>
          <w:tcPr>
            <w:tcW w:w="1387" w:type="dxa"/>
            <w:tcBorders>
              <w:top w:val="nil"/>
              <w:left w:val="nil"/>
              <w:bottom w:val="single" w:sz="4" w:space="0" w:color="auto"/>
              <w:right w:val="single" w:sz="4" w:space="0" w:color="auto"/>
            </w:tcBorders>
            <w:shd w:val="clear" w:color="auto" w:fill="auto"/>
            <w:noWrap/>
            <w:vAlign w:val="center"/>
            <w:hideMark/>
          </w:tcPr>
          <w:p w14:paraId="1E0CBBE9"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0.04818503</w:t>
            </w:r>
          </w:p>
        </w:tc>
        <w:tc>
          <w:tcPr>
            <w:tcW w:w="704" w:type="dxa"/>
            <w:tcBorders>
              <w:top w:val="nil"/>
              <w:left w:val="nil"/>
              <w:bottom w:val="single" w:sz="4" w:space="0" w:color="auto"/>
              <w:right w:val="single" w:sz="4" w:space="0" w:color="auto"/>
            </w:tcBorders>
            <w:shd w:val="clear" w:color="auto" w:fill="auto"/>
            <w:noWrap/>
            <w:vAlign w:val="bottom"/>
            <w:hideMark/>
          </w:tcPr>
          <w:p w14:paraId="6991A060"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12C26EB3"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481D8B1D"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Middle Frontal Gyrus</w:t>
            </w:r>
          </w:p>
        </w:tc>
        <w:tc>
          <w:tcPr>
            <w:tcW w:w="473" w:type="dxa"/>
            <w:tcBorders>
              <w:top w:val="nil"/>
              <w:left w:val="nil"/>
              <w:bottom w:val="single" w:sz="4" w:space="0" w:color="auto"/>
              <w:right w:val="single" w:sz="4" w:space="0" w:color="auto"/>
            </w:tcBorders>
            <w:shd w:val="clear" w:color="auto" w:fill="auto"/>
            <w:noWrap/>
            <w:vAlign w:val="bottom"/>
            <w:hideMark/>
          </w:tcPr>
          <w:p w14:paraId="306EB951"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9</w:t>
            </w:r>
          </w:p>
        </w:tc>
      </w:tr>
      <w:tr w:rsidR="00502F34" w:rsidRPr="00502F34" w14:paraId="39327A62"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57989A8"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52A2E7F8"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11</w:t>
            </w:r>
          </w:p>
        </w:tc>
        <w:tc>
          <w:tcPr>
            <w:tcW w:w="900" w:type="dxa"/>
            <w:tcBorders>
              <w:top w:val="nil"/>
              <w:left w:val="nil"/>
              <w:bottom w:val="single" w:sz="4" w:space="0" w:color="auto"/>
              <w:right w:val="single" w:sz="4" w:space="0" w:color="auto"/>
            </w:tcBorders>
            <w:shd w:val="clear" w:color="auto" w:fill="auto"/>
            <w:noWrap/>
            <w:vAlign w:val="center"/>
            <w:hideMark/>
          </w:tcPr>
          <w:p w14:paraId="4EA9EB56"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46.02</w:t>
            </w:r>
          </w:p>
        </w:tc>
        <w:tc>
          <w:tcPr>
            <w:tcW w:w="851" w:type="dxa"/>
            <w:tcBorders>
              <w:top w:val="nil"/>
              <w:left w:val="nil"/>
              <w:bottom w:val="single" w:sz="4" w:space="0" w:color="auto"/>
              <w:right w:val="single" w:sz="4" w:space="0" w:color="auto"/>
            </w:tcBorders>
            <w:shd w:val="clear" w:color="auto" w:fill="auto"/>
            <w:noWrap/>
            <w:vAlign w:val="center"/>
            <w:hideMark/>
          </w:tcPr>
          <w:p w14:paraId="67B61EB4"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39.44</w:t>
            </w:r>
          </w:p>
        </w:tc>
        <w:tc>
          <w:tcPr>
            <w:tcW w:w="850" w:type="dxa"/>
            <w:tcBorders>
              <w:top w:val="nil"/>
              <w:left w:val="nil"/>
              <w:bottom w:val="single" w:sz="4" w:space="0" w:color="auto"/>
              <w:right w:val="single" w:sz="4" w:space="0" w:color="auto"/>
            </w:tcBorders>
            <w:shd w:val="clear" w:color="auto" w:fill="auto"/>
            <w:noWrap/>
            <w:vAlign w:val="center"/>
            <w:hideMark/>
          </w:tcPr>
          <w:p w14:paraId="50C4BEC6"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18.86</w:t>
            </w:r>
          </w:p>
        </w:tc>
        <w:tc>
          <w:tcPr>
            <w:tcW w:w="1387" w:type="dxa"/>
            <w:tcBorders>
              <w:top w:val="nil"/>
              <w:left w:val="nil"/>
              <w:bottom w:val="single" w:sz="4" w:space="0" w:color="auto"/>
              <w:right w:val="single" w:sz="4" w:space="0" w:color="auto"/>
            </w:tcBorders>
            <w:shd w:val="clear" w:color="auto" w:fill="auto"/>
            <w:noWrap/>
            <w:vAlign w:val="center"/>
            <w:hideMark/>
          </w:tcPr>
          <w:p w14:paraId="26D7948A"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0.044800203</w:t>
            </w:r>
          </w:p>
        </w:tc>
        <w:tc>
          <w:tcPr>
            <w:tcW w:w="704" w:type="dxa"/>
            <w:tcBorders>
              <w:top w:val="nil"/>
              <w:left w:val="nil"/>
              <w:bottom w:val="single" w:sz="4" w:space="0" w:color="auto"/>
              <w:right w:val="single" w:sz="4" w:space="0" w:color="auto"/>
            </w:tcBorders>
            <w:shd w:val="clear" w:color="auto" w:fill="auto"/>
            <w:noWrap/>
            <w:vAlign w:val="bottom"/>
            <w:hideMark/>
          </w:tcPr>
          <w:p w14:paraId="376A271C"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R</w:t>
            </w:r>
          </w:p>
        </w:tc>
        <w:tc>
          <w:tcPr>
            <w:tcW w:w="1170" w:type="dxa"/>
            <w:tcBorders>
              <w:top w:val="nil"/>
              <w:left w:val="nil"/>
              <w:bottom w:val="single" w:sz="4" w:space="0" w:color="auto"/>
              <w:right w:val="single" w:sz="4" w:space="0" w:color="auto"/>
            </w:tcBorders>
            <w:shd w:val="clear" w:color="auto" w:fill="auto"/>
            <w:noWrap/>
            <w:vAlign w:val="bottom"/>
            <w:hideMark/>
          </w:tcPr>
          <w:p w14:paraId="7E6B20C1"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6ED4862B"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Middle Frontal Gyrus</w:t>
            </w:r>
          </w:p>
        </w:tc>
        <w:tc>
          <w:tcPr>
            <w:tcW w:w="473" w:type="dxa"/>
            <w:tcBorders>
              <w:top w:val="nil"/>
              <w:left w:val="nil"/>
              <w:bottom w:val="single" w:sz="4" w:space="0" w:color="auto"/>
              <w:right w:val="single" w:sz="4" w:space="0" w:color="auto"/>
            </w:tcBorders>
            <w:shd w:val="clear" w:color="auto" w:fill="auto"/>
            <w:noWrap/>
            <w:vAlign w:val="bottom"/>
            <w:hideMark/>
          </w:tcPr>
          <w:p w14:paraId="6A2C1BC6" w14:textId="77777777" w:rsidR="00502F34" w:rsidRPr="00502F34" w:rsidRDefault="00502F34" w:rsidP="00502F34">
            <w:pPr>
              <w:jc w:val="cente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46</w:t>
            </w:r>
          </w:p>
        </w:tc>
      </w:tr>
      <w:tr w:rsidR="00502F34" w:rsidRPr="00502F34" w14:paraId="64345817" w14:textId="77777777" w:rsidTr="00502F34">
        <w:trPr>
          <w:trHeight w:val="288"/>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DDA51" w14:textId="77777777" w:rsidR="00502F34" w:rsidRPr="00502F34" w:rsidRDefault="00502F34" w:rsidP="00502F34">
            <w:pPr>
              <w:jc w:val="center"/>
              <w:rPr>
                <w:rFonts w:ascii="Calibri" w:eastAsia="Times New Roman" w:hAnsi="Calibri" w:cs="Calibri"/>
                <w:color w:val="000000"/>
                <w:sz w:val="22"/>
                <w:szCs w:val="22"/>
                <w:lang w:eastAsia="en-GB"/>
              </w:rPr>
            </w:pP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D31AA" w14:textId="77777777" w:rsidR="00502F34" w:rsidRPr="00502F34" w:rsidRDefault="00502F34" w:rsidP="00502F34">
            <w:pPr>
              <w:rPr>
                <w:rFonts w:ascii="Times New Roman" w:eastAsia="Times New Roman" w:hAnsi="Times New Roman" w:cs="Times New Roman"/>
                <w:sz w:val="20"/>
                <w:szCs w:val="20"/>
                <w:lang w:eastAsia="en-GB"/>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7113C" w14:textId="77777777" w:rsidR="00502F34" w:rsidRPr="00502F34" w:rsidRDefault="00502F34" w:rsidP="00502F34">
            <w:pPr>
              <w:jc w:val="center"/>
              <w:rPr>
                <w:rFonts w:ascii="Times New Roman" w:eastAsia="Times New Roman" w:hAnsi="Times New Roman" w:cs="Times New Roman"/>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D19C5" w14:textId="77777777" w:rsidR="00502F34" w:rsidRPr="00502F34" w:rsidRDefault="00502F34" w:rsidP="00502F34">
            <w:pPr>
              <w:rPr>
                <w:rFonts w:ascii="Times New Roman" w:eastAsia="Times New Roman" w:hAnsi="Times New Roman" w:cs="Times New Roman"/>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24E6A" w14:textId="77777777" w:rsidR="00502F34" w:rsidRPr="00502F34" w:rsidRDefault="00502F34" w:rsidP="00502F34">
            <w:pPr>
              <w:jc w:val="center"/>
              <w:rPr>
                <w:rFonts w:ascii="Times New Roman" w:eastAsia="Times New Roman" w:hAnsi="Times New Roman" w:cs="Times New Roman"/>
                <w:sz w:val="20"/>
                <w:szCs w:val="20"/>
                <w:lang w:eastAsia="en-GB"/>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72D06" w14:textId="77777777" w:rsidR="00502F34" w:rsidRPr="00502F34" w:rsidRDefault="00502F34" w:rsidP="00502F34">
            <w:pPr>
              <w:jc w:val="center"/>
              <w:rPr>
                <w:rFonts w:ascii="Times New Roman" w:eastAsia="Times New Roman" w:hAnsi="Times New Roman" w:cs="Times New Roman"/>
                <w:sz w:val="20"/>
                <w:szCs w:val="20"/>
                <w:lang w:eastAsia="en-GB"/>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703F7" w14:textId="77777777" w:rsidR="00502F34" w:rsidRPr="00502F34" w:rsidRDefault="00502F34" w:rsidP="00502F34">
            <w:pPr>
              <w:jc w:val="center"/>
              <w:rPr>
                <w:rFonts w:ascii="Times New Roman" w:eastAsia="Times New Roman" w:hAnsi="Times New Roman" w:cs="Times New Roman"/>
                <w:sz w:val="20"/>
                <w:szCs w:val="20"/>
                <w:lang w:eastAsia="en-GB"/>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FEAD3" w14:textId="77777777" w:rsidR="00502F34" w:rsidRPr="00502F34" w:rsidRDefault="00502F34" w:rsidP="00502F34">
            <w:pPr>
              <w:rPr>
                <w:rFonts w:ascii="Times New Roman" w:eastAsia="Times New Roman" w:hAnsi="Times New Roman" w:cs="Times New Roman"/>
                <w:sz w:val="20"/>
                <w:szCs w:val="20"/>
                <w:lang w:eastAsia="en-GB"/>
              </w:rPr>
            </w:pPr>
          </w:p>
        </w:tc>
        <w:tc>
          <w:tcPr>
            <w:tcW w:w="2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0A785" w14:textId="77777777" w:rsidR="00502F34" w:rsidRPr="00502F34" w:rsidRDefault="00502F34" w:rsidP="00502F34">
            <w:pPr>
              <w:rPr>
                <w:rFonts w:ascii="Times New Roman" w:eastAsia="Times New Roman" w:hAnsi="Times New Roman" w:cs="Times New Roman"/>
                <w:sz w:val="20"/>
                <w:szCs w:val="20"/>
                <w:lang w:eastAsia="en-GB"/>
              </w:rPr>
            </w:pP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797B9" w14:textId="77777777" w:rsidR="00502F34" w:rsidRPr="00502F34" w:rsidRDefault="00502F34" w:rsidP="00502F34">
            <w:pPr>
              <w:rPr>
                <w:rFonts w:ascii="Times New Roman" w:eastAsia="Times New Roman" w:hAnsi="Times New Roman" w:cs="Times New Roman"/>
                <w:sz w:val="20"/>
                <w:szCs w:val="20"/>
                <w:lang w:eastAsia="en-GB"/>
              </w:rPr>
            </w:pPr>
          </w:p>
        </w:tc>
      </w:tr>
      <w:tr w:rsidR="00502F34" w:rsidRPr="00502F34" w14:paraId="1E65DD55" w14:textId="77777777" w:rsidTr="00502F34">
        <w:trPr>
          <w:trHeight w:val="288"/>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459EC" w14:textId="77777777" w:rsidR="00502F34" w:rsidRPr="00502F34" w:rsidRDefault="00502F34" w:rsidP="00502F34">
            <w:pPr>
              <w:rPr>
                <w:rFonts w:ascii="Calibri" w:eastAsia="Times New Roman" w:hAnsi="Calibri" w:cs="Calibri"/>
                <w:b/>
                <w:bCs/>
                <w:color w:val="000000"/>
                <w:sz w:val="22"/>
                <w:szCs w:val="22"/>
                <w:lang w:eastAsia="en-GB"/>
              </w:rPr>
            </w:pPr>
            <w:r w:rsidRPr="00502F34">
              <w:rPr>
                <w:rFonts w:ascii="Calibri" w:eastAsia="Times New Roman" w:hAnsi="Calibri" w:cs="Calibri"/>
                <w:b/>
                <w:bCs/>
                <w:color w:val="000000"/>
                <w:sz w:val="22"/>
                <w:szCs w:val="22"/>
                <w:lang w:eastAsia="en-GB"/>
              </w:rPr>
              <w:t>Programming</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589A9E55"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EB8F66D"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46.46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8D27B61"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22.24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DD41287"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9.88</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14:paraId="6BD79A29"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0.008191813</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14:paraId="4941FDEC"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R</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03B71749"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single" w:sz="4" w:space="0" w:color="auto"/>
              <w:left w:val="nil"/>
              <w:bottom w:val="single" w:sz="4" w:space="0" w:color="auto"/>
              <w:right w:val="single" w:sz="4" w:space="0" w:color="auto"/>
            </w:tcBorders>
            <w:shd w:val="clear" w:color="auto" w:fill="auto"/>
            <w:noWrap/>
            <w:vAlign w:val="bottom"/>
            <w:hideMark/>
          </w:tcPr>
          <w:p w14:paraId="2205091D"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Inferior Frontal Gyrus</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363B5CDA" w14:textId="77777777" w:rsidR="00502F34" w:rsidRPr="00502F34" w:rsidRDefault="00502F34" w:rsidP="00502F34">
            <w:pPr>
              <w:jc w:val="center"/>
              <w:rPr>
                <w:rFonts w:ascii="Calibri" w:eastAsia="Times New Roman" w:hAnsi="Calibri" w:cs="Calibri"/>
                <w:sz w:val="22"/>
                <w:szCs w:val="22"/>
                <w:lang w:eastAsia="en-GB"/>
              </w:rPr>
            </w:pPr>
            <w:r w:rsidRPr="00502F34">
              <w:rPr>
                <w:rFonts w:ascii="Calibri" w:eastAsia="Times New Roman" w:hAnsi="Calibri" w:cs="Calibri"/>
                <w:sz w:val="22"/>
                <w:szCs w:val="22"/>
                <w:lang w:eastAsia="en-GB"/>
              </w:rPr>
              <w:t>45</w:t>
            </w:r>
          </w:p>
        </w:tc>
      </w:tr>
      <w:tr w:rsidR="00502F34" w:rsidRPr="00502F34" w14:paraId="5FF7CA69"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4E8B9F4"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P&lt;0.01 (1000 permutations)</w:t>
            </w:r>
          </w:p>
        </w:tc>
        <w:tc>
          <w:tcPr>
            <w:tcW w:w="858" w:type="dxa"/>
            <w:tcBorders>
              <w:top w:val="nil"/>
              <w:left w:val="nil"/>
              <w:bottom w:val="single" w:sz="4" w:space="0" w:color="auto"/>
              <w:right w:val="single" w:sz="4" w:space="0" w:color="auto"/>
            </w:tcBorders>
            <w:shd w:val="clear" w:color="auto" w:fill="auto"/>
            <w:noWrap/>
            <w:vAlign w:val="bottom"/>
            <w:hideMark/>
          </w:tcPr>
          <w:p w14:paraId="2F32A8B2"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auto"/>
            <w:noWrap/>
            <w:vAlign w:val="bottom"/>
            <w:hideMark/>
          </w:tcPr>
          <w:p w14:paraId="457E9373"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38.38</w:t>
            </w:r>
          </w:p>
        </w:tc>
        <w:tc>
          <w:tcPr>
            <w:tcW w:w="851" w:type="dxa"/>
            <w:tcBorders>
              <w:top w:val="nil"/>
              <w:left w:val="nil"/>
              <w:bottom w:val="single" w:sz="4" w:space="0" w:color="auto"/>
              <w:right w:val="single" w:sz="4" w:space="0" w:color="auto"/>
            </w:tcBorders>
            <w:shd w:val="clear" w:color="auto" w:fill="auto"/>
            <w:noWrap/>
            <w:vAlign w:val="bottom"/>
            <w:hideMark/>
          </w:tcPr>
          <w:p w14:paraId="23EB7400"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16.27</w:t>
            </w:r>
          </w:p>
        </w:tc>
        <w:tc>
          <w:tcPr>
            <w:tcW w:w="850" w:type="dxa"/>
            <w:tcBorders>
              <w:top w:val="nil"/>
              <w:left w:val="nil"/>
              <w:bottom w:val="single" w:sz="4" w:space="0" w:color="auto"/>
              <w:right w:val="single" w:sz="4" w:space="0" w:color="auto"/>
            </w:tcBorders>
            <w:shd w:val="clear" w:color="auto" w:fill="auto"/>
            <w:noWrap/>
            <w:vAlign w:val="bottom"/>
            <w:hideMark/>
          </w:tcPr>
          <w:p w14:paraId="1ACDF9F2"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5.212</w:t>
            </w:r>
          </w:p>
        </w:tc>
        <w:tc>
          <w:tcPr>
            <w:tcW w:w="1387" w:type="dxa"/>
            <w:tcBorders>
              <w:top w:val="nil"/>
              <w:left w:val="nil"/>
              <w:bottom w:val="single" w:sz="4" w:space="0" w:color="auto"/>
              <w:right w:val="single" w:sz="4" w:space="0" w:color="auto"/>
            </w:tcBorders>
            <w:shd w:val="clear" w:color="auto" w:fill="auto"/>
            <w:noWrap/>
            <w:vAlign w:val="bottom"/>
            <w:hideMark/>
          </w:tcPr>
          <w:p w14:paraId="6AFA7980"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0.007993459</w:t>
            </w:r>
          </w:p>
        </w:tc>
        <w:tc>
          <w:tcPr>
            <w:tcW w:w="704" w:type="dxa"/>
            <w:tcBorders>
              <w:top w:val="nil"/>
              <w:left w:val="nil"/>
              <w:bottom w:val="single" w:sz="4" w:space="0" w:color="auto"/>
              <w:right w:val="single" w:sz="4" w:space="0" w:color="auto"/>
            </w:tcBorders>
            <w:shd w:val="clear" w:color="auto" w:fill="auto"/>
            <w:noWrap/>
            <w:vAlign w:val="bottom"/>
            <w:hideMark/>
          </w:tcPr>
          <w:p w14:paraId="2614135F"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R</w:t>
            </w:r>
          </w:p>
        </w:tc>
        <w:tc>
          <w:tcPr>
            <w:tcW w:w="1170" w:type="dxa"/>
            <w:tcBorders>
              <w:top w:val="nil"/>
              <w:left w:val="nil"/>
              <w:bottom w:val="single" w:sz="4" w:space="0" w:color="auto"/>
              <w:right w:val="single" w:sz="4" w:space="0" w:color="auto"/>
            </w:tcBorders>
            <w:shd w:val="clear" w:color="auto" w:fill="auto"/>
            <w:noWrap/>
            <w:vAlign w:val="bottom"/>
            <w:hideMark/>
          </w:tcPr>
          <w:p w14:paraId="6B37DE54"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Sub-lobar</w:t>
            </w:r>
          </w:p>
        </w:tc>
        <w:tc>
          <w:tcPr>
            <w:tcW w:w="2523" w:type="dxa"/>
            <w:tcBorders>
              <w:top w:val="nil"/>
              <w:left w:val="nil"/>
              <w:bottom w:val="single" w:sz="4" w:space="0" w:color="auto"/>
              <w:right w:val="single" w:sz="4" w:space="0" w:color="auto"/>
            </w:tcBorders>
            <w:shd w:val="clear" w:color="auto" w:fill="auto"/>
            <w:noWrap/>
            <w:vAlign w:val="bottom"/>
            <w:hideMark/>
          </w:tcPr>
          <w:p w14:paraId="59592CE8"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Insula</w:t>
            </w:r>
          </w:p>
        </w:tc>
        <w:tc>
          <w:tcPr>
            <w:tcW w:w="473" w:type="dxa"/>
            <w:tcBorders>
              <w:top w:val="nil"/>
              <w:left w:val="nil"/>
              <w:bottom w:val="single" w:sz="4" w:space="0" w:color="auto"/>
              <w:right w:val="single" w:sz="4" w:space="0" w:color="auto"/>
            </w:tcBorders>
            <w:shd w:val="clear" w:color="auto" w:fill="auto"/>
            <w:noWrap/>
            <w:vAlign w:val="bottom"/>
            <w:hideMark/>
          </w:tcPr>
          <w:p w14:paraId="4D1CABCE" w14:textId="77777777" w:rsidR="00502F34" w:rsidRPr="00502F34" w:rsidRDefault="00502F34" w:rsidP="00502F34">
            <w:pPr>
              <w:jc w:val="center"/>
              <w:rPr>
                <w:rFonts w:ascii="Calibri" w:eastAsia="Times New Roman" w:hAnsi="Calibri" w:cs="Calibri"/>
                <w:sz w:val="22"/>
                <w:szCs w:val="22"/>
                <w:lang w:eastAsia="en-GB"/>
              </w:rPr>
            </w:pPr>
            <w:r w:rsidRPr="00502F34">
              <w:rPr>
                <w:rFonts w:ascii="Calibri" w:eastAsia="Times New Roman" w:hAnsi="Calibri" w:cs="Calibri"/>
                <w:sz w:val="22"/>
                <w:szCs w:val="22"/>
                <w:lang w:eastAsia="en-GB"/>
              </w:rPr>
              <w:t>13</w:t>
            </w:r>
          </w:p>
        </w:tc>
      </w:tr>
      <w:tr w:rsidR="00502F34" w:rsidRPr="00502F34" w14:paraId="6B160DA8"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401D1069" w14:textId="55B4F486" w:rsidR="00502F34" w:rsidRPr="00502F34" w:rsidRDefault="0089068C" w:rsidP="00502F34">
            <w:pP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Cluster Threshold</w:t>
            </w:r>
            <w:r w:rsidR="00502F34" w:rsidRPr="00502F34">
              <w:rPr>
                <w:rFonts w:ascii="Calibri" w:eastAsia="Times New Roman" w:hAnsi="Calibri" w:cs="Calibri"/>
                <w:color w:val="000000"/>
                <w:sz w:val="22"/>
                <w:szCs w:val="22"/>
                <w:lang w:eastAsia="en-GB"/>
              </w:rPr>
              <w:t>&gt;200</w:t>
            </w:r>
          </w:p>
        </w:tc>
        <w:tc>
          <w:tcPr>
            <w:tcW w:w="858" w:type="dxa"/>
            <w:tcBorders>
              <w:top w:val="nil"/>
              <w:left w:val="nil"/>
              <w:bottom w:val="single" w:sz="4" w:space="0" w:color="auto"/>
              <w:right w:val="single" w:sz="4" w:space="0" w:color="auto"/>
            </w:tcBorders>
            <w:shd w:val="clear" w:color="auto" w:fill="auto"/>
            <w:noWrap/>
            <w:vAlign w:val="bottom"/>
            <w:hideMark/>
          </w:tcPr>
          <w:p w14:paraId="360B660F"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w:t>
            </w:r>
          </w:p>
        </w:tc>
        <w:tc>
          <w:tcPr>
            <w:tcW w:w="900" w:type="dxa"/>
            <w:tcBorders>
              <w:top w:val="nil"/>
              <w:left w:val="nil"/>
              <w:bottom w:val="single" w:sz="4" w:space="0" w:color="auto"/>
              <w:right w:val="single" w:sz="4" w:space="0" w:color="auto"/>
            </w:tcBorders>
            <w:shd w:val="clear" w:color="auto" w:fill="auto"/>
            <w:noWrap/>
            <w:vAlign w:val="bottom"/>
            <w:hideMark/>
          </w:tcPr>
          <w:p w14:paraId="6E572616"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-50.51</w:t>
            </w:r>
          </w:p>
        </w:tc>
        <w:tc>
          <w:tcPr>
            <w:tcW w:w="851" w:type="dxa"/>
            <w:tcBorders>
              <w:top w:val="nil"/>
              <w:left w:val="nil"/>
              <w:bottom w:val="single" w:sz="4" w:space="0" w:color="auto"/>
              <w:right w:val="single" w:sz="4" w:space="0" w:color="auto"/>
            </w:tcBorders>
            <w:shd w:val="clear" w:color="auto" w:fill="auto"/>
            <w:noWrap/>
            <w:vAlign w:val="bottom"/>
            <w:hideMark/>
          </w:tcPr>
          <w:p w14:paraId="205D15A0"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27.49</w:t>
            </w:r>
          </w:p>
        </w:tc>
        <w:tc>
          <w:tcPr>
            <w:tcW w:w="850" w:type="dxa"/>
            <w:tcBorders>
              <w:top w:val="nil"/>
              <w:left w:val="nil"/>
              <w:bottom w:val="single" w:sz="4" w:space="0" w:color="auto"/>
              <w:right w:val="single" w:sz="4" w:space="0" w:color="auto"/>
            </w:tcBorders>
            <w:shd w:val="clear" w:color="auto" w:fill="auto"/>
            <w:noWrap/>
            <w:vAlign w:val="bottom"/>
            <w:hideMark/>
          </w:tcPr>
          <w:p w14:paraId="2E1369E0"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29.75</w:t>
            </w:r>
          </w:p>
        </w:tc>
        <w:tc>
          <w:tcPr>
            <w:tcW w:w="1387" w:type="dxa"/>
            <w:tcBorders>
              <w:top w:val="nil"/>
              <w:left w:val="nil"/>
              <w:bottom w:val="single" w:sz="4" w:space="0" w:color="auto"/>
              <w:right w:val="single" w:sz="4" w:space="0" w:color="auto"/>
            </w:tcBorders>
            <w:shd w:val="clear" w:color="auto" w:fill="auto"/>
            <w:noWrap/>
            <w:vAlign w:val="bottom"/>
            <w:hideMark/>
          </w:tcPr>
          <w:p w14:paraId="39D18C8B"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0.010981998</w:t>
            </w:r>
          </w:p>
        </w:tc>
        <w:tc>
          <w:tcPr>
            <w:tcW w:w="704" w:type="dxa"/>
            <w:tcBorders>
              <w:top w:val="nil"/>
              <w:left w:val="nil"/>
              <w:bottom w:val="single" w:sz="4" w:space="0" w:color="auto"/>
              <w:right w:val="single" w:sz="4" w:space="0" w:color="auto"/>
            </w:tcBorders>
            <w:shd w:val="clear" w:color="auto" w:fill="auto"/>
            <w:noWrap/>
            <w:vAlign w:val="bottom"/>
            <w:hideMark/>
          </w:tcPr>
          <w:p w14:paraId="370985FD"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03661E6B"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7FA9AABC"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Middle Frontal Gyrus</w:t>
            </w:r>
          </w:p>
        </w:tc>
        <w:tc>
          <w:tcPr>
            <w:tcW w:w="473" w:type="dxa"/>
            <w:tcBorders>
              <w:top w:val="nil"/>
              <w:left w:val="nil"/>
              <w:bottom w:val="single" w:sz="4" w:space="0" w:color="auto"/>
              <w:right w:val="single" w:sz="4" w:space="0" w:color="auto"/>
            </w:tcBorders>
            <w:shd w:val="clear" w:color="auto" w:fill="auto"/>
            <w:noWrap/>
            <w:vAlign w:val="bottom"/>
            <w:hideMark/>
          </w:tcPr>
          <w:p w14:paraId="2B07F385" w14:textId="77777777" w:rsidR="00502F34" w:rsidRPr="00502F34" w:rsidRDefault="00502F34" w:rsidP="00502F34">
            <w:pPr>
              <w:jc w:val="center"/>
              <w:rPr>
                <w:rFonts w:ascii="Calibri" w:eastAsia="Times New Roman" w:hAnsi="Calibri" w:cs="Calibri"/>
                <w:sz w:val="22"/>
                <w:szCs w:val="22"/>
                <w:lang w:eastAsia="en-GB"/>
              </w:rPr>
            </w:pPr>
            <w:r w:rsidRPr="00502F34">
              <w:rPr>
                <w:rFonts w:ascii="Calibri" w:eastAsia="Times New Roman" w:hAnsi="Calibri" w:cs="Calibri"/>
                <w:sz w:val="22"/>
                <w:szCs w:val="22"/>
                <w:lang w:eastAsia="en-GB"/>
              </w:rPr>
              <w:t>46</w:t>
            </w:r>
          </w:p>
        </w:tc>
      </w:tr>
      <w:tr w:rsidR="00502F34" w:rsidRPr="00502F34" w14:paraId="3C10BABD"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816C5CA"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2CAEB59E"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w:t>
            </w:r>
          </w:p>
        </w:tc>
        <w:tc>
          <w:tcPr>
            <w:tcW w:w="900" w:type="dxa"/>
            <w:tcBorders>
              <w:top w:val="nil"/>
              <w:left w:val="nil"/>
              <w:bottom w:val="single" w:sz="4" w:space="0" w:color="auto"/>
              <w:right w:val="single" w:sz="4" w:space="0" w:color="auto"/>
            </w:tcBorders>
            <w:shd w:val="clear" w:color="auto" w:fill="auto"/>
            <w:noWrap/>
            <w:vAlign w:val="bottom"/>
            <w:hideMark/>
          </w:tcPr>
          <w:p w14:paraId="457A4311"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-50.51</w:t>
            </w:r>
          </w:p>
        </w:tc>
        <w:tc>
          <w:tcPr>
            <w:tcW w:w="851" w:type="dxa"/>
            <w:tcBorders>
              <w:top w:val="nil"/>
              <w:left w:val="nil"/>
              <w:bottom w:val="single" w:sz="4" w:space="0" w:color="auto"/>
              <w:right w:val="single" w:sz="4" w:space="0" w:color="auto"/>
            </w:tcBorders>
            <w:shd w:val="clear" w:color="auto" w:fill="auto"/>
            <w:noWrap/>
            <w:vAlign w:val="bottom"/>
            <w:hideMark/>
          </w:tcPr>
          <w:p w14:paraId="7E6BC6C1"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-55.6</w:t>
            </w:r>
          </w:p>
        </w:tc>
        <w:tc>
          <w:tcPr>
            <w:tcW w:w="850" w:type="dxa"/>
            <w:tcBorders>
              <w:top w:val="nil"/>
              <w:left w:val="nil"/>
              <w:bottom w:val="single" w:sz="4" w:space="0" w:color="auto"/>
              <w:right w:val="single" w:sz="4" w:space="0" w:color="auto"/>
            </w:tcBorders>
            <w:shd w:val="clear" w:color="auto" w:fill="auto"/>
            <w:noWrap/>
            <w:vAlign w:val="bottom"/>
            <w:hideMark/>
          </w:tcPr>
          <w:p w14:paraId="07B4C351"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-3.214</w:t>
            </w:r>
          </w:p>
        </w:tc>
        <w:tc>
          <w:tcPr>
            <w:tcW w:w="1387" w:type="dxa"/>
            <w:tcBorders>
              <w:top w:val="nil"/>
              <w:left w:val="nil"/>
              <w:bottom w:val="single" w:sz="4" w:space="0" w:color="auto"/>
              <w:right w:val="single" w:sz="4" w:space="0" w:color="auto"/>
            </w:tcBorders>
            <w:shd w:val="clear" w:color="auto" w:fill="auto"/>
            <w:noWrap/>
            <w:vAlign w:val="bottom"/>
            <w:hideMark/>
          </w:tcPr>
          <w:p w14:paraId="3CB5AECD"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0.008036627</w:t>
            </w:r>
          </w:p>
        </w:tc>
        <w:tc>
          <w:tcPr>
            <w:tcW w:w="704" w:type="dxa"/>
            <w:tcBorders>
              <w:top w:val="nil"/>
              <w:left w:val="nil"/>
              <w:bottom w:val="single" w:sz="4" w:space="0" w:color="auto"/>
              <w:right w:val="single" w:sz="4" w:space="0" w:color="auto"/>
            </w:tcBorders>
            <w:shd w:val="clear" w:color="auto" w:fill="auto"/>
            <w:noWrap/>
            <w:vAlign w:val="bottom"/>
            <w:hideMark/>
          </w:tcPr>
          <w:p w14:paraId="20FFC70A"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0F8398F0"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Temporal</w:t>
            </w:r>
          </w:p>
        </w:tc>
        <w:tc>
          <w:tcPr>
            <w:tcW w:w="2523" w:type="dxa"/>
            <w:tcBorders>
              <w:top w:val="nil"/>
              <w:left w:val="nil"/>
              <w:bottom w:val="single" w:sz="4" w:space="0" w:color="auto"/>
              <w:right w:val="single" w:sz="4" w:space="0" w:color="auto"/>
            </w:tcBorders>
            <w:shd w:val="clear" w:color="auto" w:fill="auto"/>
            <w:noWrap/>
            <w:vAlign w:val="bottom"/>
            <w:hideMark/>
          </w:tcPr>
          <w:p w14:paraId="468EDB8C"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Middle Temporal Gyrus</w:t>
            </w:r>
          </w:p>
        </w:tc>
        <w:tc>
          <w:tcPr>
            <w:tcW w:w="473" w:type="dxa"/>
            <w:tcBorders>
              <w:top w:val="nil"/>
              <w:left w:val="nil"/>
              <w:bottom w:val="single" w:sz="4" w:space="0" w:color="auto"/>
              <w:right w:val="single" w:sz="4" w:space="0" w:color="auto"/>
            </w:tcBorders>
            <w:shd w:val="clear" w:color="auto" w:fill="auto"/>
            <w:noWrap/>
            <w:vAlign w:val="bottom"/>
            <w:hideMark/>
          </w:tcPr>
          <w:p w14:paraId="718951B7" w14:textId="77777777" w:rsidR="00502F34" w:rsidRPr="00502F34" w:rsidRDefault="00502F34" w:rsidP="00502F34">
            <w:pPr>
              <w:jc w:val="center"/>
              <w:rPr>
                <w:rFonts w:ascii="Calibri" w:eastAsia="Times New Roman" w:hAnsi="Calibri" w:cs="Calibri"/>
                <w:sz w:val="22"/>
                <w:szCs w:val="22"/>
                <w:lang w:eastAsia="en-GB"/>
              </w:rPr>
            </w:pPr>
            <w:r w:rsidRPr="00502F34">
              <w:rPr>
                <w:rFonts w:ascii="Calibri" w:eastAsia="Times New Roman" w:hAnsi="Calibri" w:cs="Calibri"/>
                <w:sz w:val="22"/>
                <w:szCs w:val="22"/>
                <w:lang w:eastAsia="en-GB"/>
              </w:rPr>
              <w:t>37</w:t>
            </w:r>
          </w:p>
        </w:tc>
      </w:tr>
      <w:tr w:rsidR="00502F34" w:rsidRPr="00502F34" w14:paraId="005A475E"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68D8B5CE"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5CC3952C"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w:t>
            </w:r>
          </w:p>
        </w:tc>
        <w:tc>
          <w:tcPr>
            <w:tcW w:w="900" w:type="dxa"/>
            <w:tcBorders>
              <w:top w:val="nil"/>
              <w:left w:val="nil"/>
              <w:bottom w:val="single" w:sz="4" w:space="0" w:color="auto"/>
              <w:right w:val="single" w:sz="4" w:space="0" w:color="auto"/>
            </w:tcBorders>
            <w:shd w:val="clear" w:color="auto" w:fill="auto"/>
            <w:noWrap/>
            <w:vAlign w:val="bottom"/>
            <w:hideMark/>
          </w:tcPr>
          <w:p w14:paraId="563EA40E"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-30.3</w:t>
            </w:r>
          </w:p>
        </w:tc>
        <w:tc>
          <w:tcPr>
            <w:tcW w:w="851" w:type="dxa"/>
            <w:tcBorders>
              <w:top w:val="nil"/>
              <w:left w:val="nil"/>
              <w:bottom w:val="single" w:sz="4" w:space="0" w:color="auto"/>
              <w:right w:val="single" w:sz="4" w:space="0" w:color="auto"/>
            </w:tcBorders>
            <w:shd w:val="clear" w:color="auto" w:fill="auto"/>
            <w:noWrap/>
            <w:vAlign w:val="bottom"/>
            <w:hideMark/>
          </w:tcPr>
          <w:p w14:paraId="3C289C94"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-73.51</w:t>
            </w:r>
          </w:p>
        </w:tc>
        <w:tc>
          <w:tcPr>
            <w:tcW w:w="850" w:type="dxa"/>
            <w:tcBorders>
              <w:top w:val="nil"/>
              <w:left w:val="nil"/>
              <w:bottom w:val="single" w:sz="4" w:space="0" w:color="auto"/>
              <w:right w:val="single" w:sz="4" w:space="0" w:color="auto"/>
            </w:tcBorders>
            <w:shd w:val="clear" w:color="auto" w:fill="auto"/>
            <w:noWrap/>
            <w:vAlign w:val="bottom"/>
            <w:hideMark/>
          </w:tcPr>
          <w:p w14:paraId="7D0BBE64"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26.59</w:t>
            </w:r>
          </w:p>
        </w:tc>
        <w:tc>
          <w:tcPr>
            <w:tcW w:w="1387" w:type="dxa"/>
            <w:tcBorders>
              <w:top w:val="nil"/>
              <w:left w:val="nil"/>
              <w:bottom w:val="single" w:sz="4" w:space="0" w:color="auto"/>
              <w:right w:val="single" w:sz="4" w:space="0" w:color="auto"/>
            </w:tcBorders>
            <w:shd w:val="clear" w:color="auto" w:fill="auto"/>
            <w:noWrap/>
            <w:vAlign w:val="bottom"/>
            <w:hideMark/>
          </w:tcPr>
          <w:p w14:paraId="4694005C"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0.008036611</w:t>
            </w:r>
          </w:p>
        </w:tc>
        <w:tc>
          <w:tcPr>
            <w:tcW w:w="704" w:type="dxa"/>
            <w:tcBorders>
              <w:top w:val="nil"/>
              <w:left w:val="nil"/>
              <w:bottom w:val="single" w:sz="4" w:space="0" w:color="auto"/>
              <w:right w:val="single" w:sz="4" w:space="0" w:color="auto"/>
            </w:tcBorders>
            <w:shd w:val="clear" w:color="auto" w:fill="auto"/>
            <w:noWrap/>
            <w:vAlign w:val="bottom"/>
            <w:hideMark/>
          </w:tcPr>
          <w:p w14:paraId="36DE90FB"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136CB292"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Occipital</w:t>
            </w:r>
          </w:p>
        </w:tc>
        <w:tc>
          <w:tcPr>
            <w:tcW w:w="2523" w:type="dxa"/>
            <w:tcBorders>
              <w:top w:val="nil"/>
              <w:left w:val="nil"/>
              <w:bottom w:val="single" w:sz="4" w:space="0" w:color="auto"/>
              <w:right w:val="single" w:sz="4" w:space="0" w:color="auto"/>
            </w:tcBorders>
            <w:shd w:val="clear" w:color="auto" w:fill="auto"/>
            <w:noWrap/>
            <w:vAlign w:val="bottom"/>
            <w:hideMark/>
          </w:tcPr>
          <w:p w14:paraId="4C0B4628"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Superior Occipital Gyrus</w:t>
            </w:r>
          </w:p>
        </w:tc>
        <w:tc>
          <w:tcPr>
            <w:tcW w:w="473" w:type="dxa"/>
            <w:tcBorders>
              <w:top w:val="nil"/>
              <w:left w:val="nil"/>
              <w:bottom w:val="single" w:sz="4" w:space="0" w:color="auto"/>
              <w:right w:val="single" w:sz="4" w:space="0" w:color="auto"/>
            </w:tcBorders>
            <w:shd w:val="clear" w:color="auto" w:fill="auto"/>
            <w:noWrap/>
            <w:vAlign w:val="bottom"/>
            <w:hideMark/>
          </w:tcPr>
          <w:p w14:paraId="678F526E" w14:textId="77777777" w:rsidR="00502F34" w:rsidRPr="00502F34" w:rsidRDefault="00502F34" w:rsidP="00502F34">
            <w:pPr>
              <w:jc w:val="center"/>
              <w:rPr>
                <w:rFonts w:ascii="Calibri" w:eastAsia="Times New Roman" w:hAnsi="Calibri" w:cs="Calibri"/>
                <w:sz w:val="22"/>
                <w:szCs w:val="22"/>
                <w:lang w:eastAsia="en-GB"/>
              </w:rPr>
            </w:pPr>
            <w:r w:rsidRPr="00502F34">
              <w:rPr>
                <w:rFonts w:ascii="Calibri" w:eastAsia="Times New Roman" w:hAnsi="Calibri" w:cs="Calibri"/>
                <w:sz w:val="22"/>
                <w:szCs w:val="22"/>
                <w:lang w:eastAsia="en-GB"/>
              </w:rPr>
              <w:t>19</w:t>
            </w:r>
          </w:p>
        </w:tc>
      </w:tr>
      <w:tr w:rsidR="00502F34" w:rsidRPr="00502F34" w14:paraId="44DF697E"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227088DD"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523F441A"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w:t>
            </w:r>
          </w:p>
        </w:tc>
        <w:tc>
          <w:tcPr>
            <w:tcW w:w="900" w:type="dxa"/>
            <w:tcBorders>
              <w:top w:val="nil"/>
              <w:left w:val="nil"/>
              <w:bottom w:val="single" w:sz="4" w:space="0" w:color="auto"/>
              <w:right w:val="single" w:sz="4" w:space="0" w:color="auto"/>
            </w:tcBorders>
            <w:shd w:val="clear" w:color="auto" w:fill="auto"/>
            <w:noWrap/>
            <w:vAlign w:val="bottom"/>
            <w:hideMark/>
          </w:tcPr>
          <w:p w14:paraId="60247C0D"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24.24</w:t>
            </w:r>
          </w:p>
        </w:tc>
        <w:tc>
          <w:tcPr>
            <w:tcW w:w="851" w:type="dxa"/>
            <w:tcBorders>
              <w:top w:val="nil"/>
              <w:left w:val="nil"/>
              <w:bottom w:val="single" w:sz="4" w:space="0" w:color="auto"/>
              <w:right w:val="single" w:sz="4" w:space="0" w:color="auto"/>
            </w:tcBorders>
            <w:shd w:val="clear" w:color="auto" w:fill="auto"/>
            <w:noWrap/>
            <w:vAlign w:val="bottom"/>
            <w:hideMark/>
          </w:tcPr>
          <w:p w14:paraId="72B7DA0F"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1.026</w:t>
            </w:r>
          </w:p>
        </w:tc>
        <w:tc>
          <w:tcPr>
            <w:tcW w:w="850" w:type="dxa"/>
            <w:tcBorders>
              <w:top w:val="nil"/>
              <w:left w:val="nil"/>
              <w:bottom w:val="single" w:sz="4" w:space="0" w:color="auto"/>
              <w:right w:val="single" w:sz="4" w:space="0" w:color="auto"/>
            </w:tcBorders>
            <w:shd w:val="clear" w:color="auto" w:fill="auto"/>
            <w:noWrap/>
            <w:vAlign w:val="bottom"/>
            <w:hideMark/>
          </w:tcPr>
          <w:p w14:paraId="12355B67"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65.35</w:t>
            </w:r>
          </w:p>
        </w:tc>
        <w:tc>
          <w:tcPr>
            <w:tcW w:w="1387" w:type="dxa"/>
            <w:tcBorders>
              <w:top w:val="nil"/>
              <w:left w:val="nil"/>
              <w:bottom w:val="single" w:sz="4" w:space="0" w:color="auto"/>
              <w:right w:val="single" w:sz="4" w:space="0" w:color="auto"/>
            </w:tcBorders>
            <w:shd w:val="clear" w:color="auto" w:fill="auto"/>
            <w:noWrap/>
            <w:vAlign w:val="bottom"/>
            <w:hideMark/>
          </w:tcPr>
          <w:p w14:paraId="24002BE7"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0.008036611</w:t>
            </w:r>
          </w:p>
        </w:tc>
        <w:tc>
          <w:tcPr>
            <w:tcW w:w="704" w:type="dxa"/>
            <w:tcBorders>
              <w:top w:val="nil"/>
              <w:left w:val="nil"/>
              <w:bottom w:val="single" w:sz="4" w:space="0" w:color="auto"/>
              <w:right w:val="single" w:sz="4" w:space="0" w:color="auto"/>
            </w:tcBorders>
            <w:shd w:val="clear" w:color="auto" w:fill="auto"/>
            <w:noWrap/>
            <w:vAlign w:val="bottom"/>
            <w:hideMark/>
          </w:tcPr>
          <w:p w14:paraId="35A0FA36"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R</w:t>
            </w:r>
          </w:p>
        </w:tc>
        <w:tc>
          <w:tcPr>
            <w:tcW w:w="1170" w:type="dxa"/>
            <w:tcBorders>
              <w:top w:val="nil"/>
              <w:left w:val="nil"/>
              <w:bottom w:val="single" w:sz="4" w:space="0" w:color="auto"/>
              <w:right w:val="single" w:sz="4" w:space="0" w:color="auto"/>
            </w:tcBorders>
            <w:shd w:val="clear" w:color="auto" w:fill="auto"/>
            <w:noWrap/>
            <w:vAlign w:val="bottom"/>
            <w:hideMark/>
          </w:tcPr>
          <w:p w14:paraId="7BABB36B"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050F0CDB"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Middle Frontal Gyrus</w:t>
            </w:r>
          </w:p>
        </w:tc>
        <w:tc>
          <w:tcPr>
            <w:tcW w:w="473" w:type="dxa"/>
            <w:tcBorders>
              <w:top w:val="nil"/>
              <w:left w:val="nil"/>
              <w:bottom w:val="single" w:sz="4" w:space="0" w:color="auto"/>
              <w:right w:val="single" w:sz="4" w:space="0" w:color="auto"/>
            </w:tcBorders>
            <w:shd w:val="clear" w:color="auto" w:fill="auto"/>
            <w:noWrap/>
            <w:vAlign w:val="bottom"/>
            <w:hideMark/>
          </w:tcPr>
          <w:p w14:paraId="2D6CE023" w14:textId="77777777" w:rsidR="00502F34" w:rsidRPr="00502F34" w:rsidRDefault="00502F34" w:rsidP="00502F34">
            <w:pPr>
              <w:jc w:val="center"/>
              <w:rPr>
                <w:rFonts w:ascii="Calibri" w:eastAsia="Times New Roman" w:hAnsi="Calibri" w:cs="Calibri"/>
                <w:sz w:val="22"/>
                <w:szCs w:val="22"/>
                <w:lang w:eastAsia="en-GB"/>
              </w:rPr>
            </w:pPr>
            <w:r w:rsidRPr="00502F34">
              <w:rPr>
                <w:rFonts w:ascii="Calibri" w:eastAsia="Times New Roman" w:hAnsi="Calibri" w:cs="Calibri"/>
                <w:sz w:val="22"/>
                <w:szCs w:val="22"/>
                <w:lang w:eastAsia="en-GB"/>
              </w:rPr>
              <w:t>6</w:t>
            </w:r>
          </w:p>
        </w:tc>
      </w:tr>
      <w:tr w:rsidR="00502F34" w:rsidRPr="00502F34" w14:paraId="0EF5D11B"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9DEEB41"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07F3E659"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6</w:t>
            </w:r>
          </w:p>
        </w:tc>
        <w:tc>
          <w:tcPr>
            <w:tcW w:w="900" w:type="dxa"/>
            <w:tcBorders>
              <w:top w:val="nil"/>
              <w:left w:val="nil"/>
              <w:bottom w:val="single" w:sz="4" w:space="0" w:color="auto"/>
              <w:right w:val="single" w:sz="4" w:space="0" w:color="auto"/>
            </w:tcBorders>
            <w:shd w:val="clear" w:color="auto" w:fill="auto"/>
            <w:noWrap/>
            <w:vAlign w:val="bottom"/>
            <w:hideMark/>
          </w:tcPr>
          <w:p w14:paraId="32D88D9E"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-57.58</w:t>
            </w:r>
          </w:p>
        </w:tc>
        <w:tc>
          <w:tcPr>
            <w:tcW w:w="851" w:type="dxa"/>
            <w:tcBorders>
              <w:top w:val="nil"/>
              <w:left w:val="nil"/>
              <w:bottom w:val="single" w:sz="4" w:space="0" w:color="auto"/>
              <w:right w:val="single" w:sz="4" w:space="0" w:color="auto"/>
            </w:tcBorders>
            <w:shd w:val="clear" w:color="auto" w:fill="auto"/>
            <w:noWrap/>
            <w:vAlign w:val="bottom"/>
            <w:hideMark/>
          </w:tcPr>
          <w:p w14:paraId="38BDC376"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-15.91</w:t>
            </w:r>
          </w:p>
        </w:tc>
        <w:tc>
          <w:tcPr>
            <w:tcW w:w="850" w:type="dxa"/>
            <w:tcBorders>
              <w:top w:val="nil"/>
              <w:left w:val="nil"/>
              <w:bottom w:val="single" w:sz="4" w:space="0" w:color="auto"/>
              <w:right w:val="single" w:sz="4" w:space="0" w:color="auto"/>
            </w:tcBorders>
            <w:shd w:val="clear" w:color="auto" w:fill="auto"/>
            <w:noWrap/>
            <w:vAlign w:val="bottom"/>
            <w:hideMark/>
          </w:tcPr>
          <w:p w14:paraId="63005045"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-14.03</w:t>
            </w:r>
          </w:p>
        </w:tc>
        <w:tc>
          <w:tcPr>
            <w:tcW w:w="1387" w:type="dxa"/>
            <w:tcBorders>
              <w:top w:val="nil"/>
              <w:left w:val="nil"/>
              <w:bottom w:val="single" w:sz="4" w:space="0" w:color="auto"/>
              <w:right w:val="single" w:sz="4" w:space="0" w:color="auto"/>
            </w:tcBorders>
            <w:shd w:val="clear" w:color="auto" w:fill="auto"/>
            <w:noWrap/>
            <w:vAlign w:val="bottom"/>
            <w:hideMark/>
          </w:tcPr>
          <w:p w14:paraId="1E144F12"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0.007545747</w:t>
            </w:r>
          </w:p>
        </w:tc>
        <w:tc>
          <w:tcPr>
            <w:tcW w:w="704" w:type="dxa"/>
            <w:tcBorders>
              <w:top w:val="nil"/>
              <w:left w:val="nil"/>
              <w:bottom w:val="single" w:sz="4" w:space="0" w:color="auto"/>
              <w:right w:val="single" w:sz="4" w:space="0" w:color="auto"/>
            </w:tcBorders>
            <w:shd w:val="clear" w:color="auto" w:fill="auto"/>
            <w:noWrap/>
            <w:vAlign w:val="bottom"/>
            <w:hideMark/>
          </w:tcPr>
          <w:p w14:paraId="0C2A1D84"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46BAF85E"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Temporal</w:t>
            </w:r>
          </w:p>
        </w:tc>
        <w:tc>
          <w:tcPr>
            <w:tcW w:w="2523" w:type="dxa"/>
            <w:tcBorders>
              <w:top w:val="nil"/>
              <w:left w:val="nil"/>
              <w:bottom w:val="single" w:sz="4" w:space="0" w:color="auto"/>
              <w:right w:val="single" w:sz="4" w:space="0" w:color="auto"/>
            </w:tcBorders>
            <w:shd w:val="clear" w:color="auto" w:fill="auto"/>
            <w:noWrap/>
            <w:vAlign w:val="bottom"/>
            <w:hideMark/>
          </w:tcPr>
          <w:p w14:paraId="0DD6F675"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Middle Temporal Gyrus</w:t>
            </w:r>
          </w:p>
        </w:tc>
        <w:tc>
          <w:tcPr>
            <w:tcW w:w="473" w:type="dxa"/>
            <w:tcBorders>
              <w:top w:val="nil"/>
              <w:left w:val="nil"/>
              <w:bottom w:val="single" w:sz="4" w:space="0" w:color="auto"/>
              <w:right w:val="single" w:sz="4" w:space="0" w:color="auto"/>
            </w:tcBorders>
            <w:shd w:val="clear" w:color="auto" w:fill="auto"/>
            <w:noWrap/>
            <w:vAlign w:val="bottom"/>
            <w:hideMark/>
          </w:tcPr>
          <w:p w14:paraId="0AB9A4D9" w14:textId="77777777" w:rsidR="00502F34" w:rsidRPr="00502F34" w:rsidRDefault="00502F34" w:rsidP="00502F34">
            <w:pPr>
              <w:jc w:val="center"/>
              <w:rPr>
                <w:rFonts w:ascii="Calibri" w:eastAsia="Times New Roman" w:hAnsi="Calibri" w:cs="Calibri"/>
                <w:sz w:val="22"/>
                <w:szCs w:val="22"/>
                <w:lang w:eastAsia="en-GB"/>
              </w:rPr>
            </w:pPr>
            <w:r w:rsidRPr="00502F34">
              <w:rPr>
                <w:rFonts w:ascii="Calibri" w:eastAsia="Times New Roman" w:hAnsi="Calibri" w:cs="Calibri"/>
                <w:sz w:val="22"/>
                <w:szCs w:val="22"/>
                <w:lang w:eastAsia="en-GB"/>
              </w:rPr>
              <w:t>21</w:t>
            </w:r>
          </w:p>
        </w:tc>
      </w:tr>
      <w:tr w:rsidR="00502F34" w:rsidRPr="00502F34" w14:paraId="5D3CEE19"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763BC19"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1833C2E8"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7</w:t>
            </w:r>
          </w:p>
        </w:tc>
        <w:tc>
          <w:tcPr>
            <w:tcW w:w="900" w:type="dxa"/>
            <w:tcBorders>
              <w:top w:val="nil"/>
              <w:left w:val="nil"/>
              <w:bottom w:val="single" w:sz="4" w:space="0" w:color="auto"/>
              <w:right w:val="single" w:sz="4" w:space="0" w:color="auto"/>
            </w:tcBorders>
            <w:shd w:val="clear" w:color="auto" w:fill="auto"/>
            <w:noWrap/>
            <w:vAlign w:val="bottom"/>
            <w:hideMark/>
          </w:tcPr>
          <w:p w14:paraId="14C8FE20"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-12.12</w:t>
            </w:r>
          </w:p>
        </w:tc>
        <w:tc>
          <w:tcPr>
            <w:tcW w:w="851" w:type="dxa"/>
            <w:tcBorders>
              <w:top w:val="nil"/>
              <w:left w:val="nil"/>
              <w:bottom w:val="single" w:sz="4" w:space="0" w:color="auto"/>
              <w:right w:val="single" w:sz="4" w:space="0" w:color="auto"/>
            </w:tcBorders>
            <w:shd w:val="clear" w:color="auto" w:fill="auto"/>
            <w:noWrap/>
            <w:vAlign w:val="bottom"/>
            <w:hideMark/>
          </w:tcPr>
          <w:p w14:paraId="7DC9BBCE"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-3.402</w:t>
            </w:r>
          </w:p>
        </w:tc>
        <w:tc>
          <w:tcPr>
            <w:tcW w:w="850" w:type="dxa"/>
            <w:tcBorders>
              <w:top w:val="nil"/>
              <w:left w:val="nil"/>
              <w:bottom w:val="single" w:sz="4" w:space="0" w:color="auto"/>
              <w:right w:val="single" w:sz="4" w:space="0" w:color="auto"/>
            </w:tcBorders>
            <w:shd w:val="clear" w:color="auto" w:fill="auto"/>
            <w:noWrap/>
            <w:vAlign w:val="bottom"/>
            <w:hideMark/>
          </w:tcPr>
          <w:p w14:paraId="3F36D827"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71.65</w:t>
            </w:r>
          </w:p>
        </w:tc>
        <w:tc>
          <w:tcPr>
            <w:tcW w:w="1387" w:type="dxa"/>
            <w:tcBorders>
              <w:top w:val="nil"/>
              <w:left w:val="nil"/>
              <w:bottom w:val="single" w:sz="4" w:space="0" w:color="auto"/>
              <w:right w:val="single" w:sz="4" w:space="0" w:color="auto"/>
            </w:tcBorders>
            <w:shd w:val="clear" w:color="auto" w:fill="auto"/>
            <w:noWrap/>
            <w:vAlign w:val="bottom"/>
            <w:hideMark/>
          </w:tcPr>
          <w:p w14:paraId="360F35FF"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0.008036611</w:t>
            </w:r>
          </w:p>
        </w:tc>
        <w:tc>
          <w:tcPr>
            <w:tcW w:w="704" w:type="dxa"/>
            <w:tcBorders>
              <w:top w:val="nil"/>
              <w:left w:val="nil"/>
              <w:bottom w:val="single" w:sz="4" w:space="0" w:color="auto"/>
              <w:right w:val="single" w:sz="4" w:space="0" w:color="auto"/>
            </w:tcBorders>
            <w:shd w:val="clear" w:color="auto" w:fill="auto"/>
            <w:noWrap/>
            <w:vAlign w:val="bottom"/>
            <w:hideMark/>
          </w:tcPr>
          <w:p w14:paraId="00974BB6"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474030F3"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04A2BE16"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Superior Frontal Gyrus</w:t>
            </w:r>
          </w:p>
        </w:tc>
        <w:tc>
          <w:tcPr>
            <w:tcW w:w="473" w:type="dxa"/>
            <w:tcBorders>
              <w:top w:val="nil"/>
              <w:left w:val="nil"/>
              <w:bottom w:val="single" w:sz="4" w:space="0" w:color="auto"/>
              <w:right w:val="single" w:sz="4" w:space="0" w:color="auto"/>
            </w:tcBorders>
            <w:shd w:val="clear" w:color="auto" w:fill="auto"/>
            <w:noWrap/>
            <w:vAlign w:val="bottom"/>
            <w:hideMark/>
          </w:tcPr>
          <w:p w14:paraId="72630ED5" w14:textId="77777777" w:rsidR="00502F34" w:rsidRPr="00502F34" w:rsidRDefault="00502F34" w:rsidP="00502F34">
            <w:pPr>
              <w:jc w:val="center"/>
              <w:rPr>
                <w:rFonts w:ascii="Calibri" w:eastAsia="Times New Roman" w:hAnsi="Calibri" w:cs="Calibri"/>
                <w:sz w:val="22"/>
                <w:szCs w:val="22"/>
                <w:lang w:eastAsia="en-GB"/>
              </w:rPr>
            </w:pPr>
            <w:r w:rsidRPr="00502F34">
              <w:rPr>
                <w:rFonts w:ascii="Calibri" w:eastAsia="Times New Roman" w:hAnsi="Calibri" w:cs="Calibri"/>
                <w:sz w:val="22"/>
                <w:szCs w:val="22"/>
                <w:lang w:eastAsia="en-GB"/>
              </w:rPr>
              <w:t>6</w:t>
            </w:r>
          </w:p>
        </w:tc>
      </w:tr>
      <w:tr w:rsidR="00502F34" w:rsidRPr="00502F34" w14:paraId="7E168F66"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5872481"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2C902029"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8</w:t>
            </w:r>
          </w:p>
        </w:tc>
        <w:tc>
          <w:tcPr>
            <w:tcW w:w="900" w:type="dxa"/>
            <w:tcBorders>
              <w:top w:val="nil"/>
              <w:left w:val="nil"/>
              <w:bottom w:val="single" w:sz="4" w:space="0" w:color="auto"/>
              <w:right w:val="single" w:sz="4" w:space="0" w:color="auto"/>
            </w:tcBorders>
            <w:shd w:val="clear" w:color="auto" w:fill="auto"/>
            <w:noWrap/>
            <w:vAlign w:val="bottom"/>
            <w:hideMark/>
          </w:tcPr>
          <w:p w14:paraId="302EA0AF"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-60.61</w:t>
            </w:r>
          </w:p>
        </w:tc>
        <w:tc>
          <w:tcPr>
            <w:tcW w:w="851" w:type="dxa"/>
            <w:tcBorders>
              <w:top w:val="nil"/>
              <w:left w:val="nil"/>
              <w:bottom w:val="single" w:sz="4" w:space="0" w:color="auto"/>
              <w:right w:val="single" w:sz="4" w:space="0" w:color="auto"/>
            </w:tcBorders>
            <w:shd w:val="clear" w:color="auto" w:fill="auto"/>
            <w:noWrap/>
            <w:vAlign w:val="bottom"/>
            <w:hideMark/>
          </w:tcPr>
          <w:p w14:paraId="07D7209C"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-40.67</w:t>
            </w:r>
          </w:p>
        </w:tc>
        <w:tc>
          <w:tcPr>
            <w:tcW w:w="850" w:type="dxa"/>
            <w:tcBorders>
              <w:top w:val="nil"/>
              <w:left w:val="nil"/>
              <w:bottom w:val="single" w:sz="4" w:space="0" w:color="auto"/>
              <w:right w:val="single" w:sz="4" w:space="0" w:color="auto"/>
            </w:tcBorders>
            <w:shd w:val="clear" w:color="auto" w:fill="auto"/>
            <w:noWrap/>
            <w:vAlign w:val="bottom"/>
            <w:hideMark/>
          </w:tcPr>
          <w:p w14:paraId="630ABBA3"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-14.27</w:t>
            </w:r>
          </w:p>
        </w:tc>
        <w:tc>
          <w:tcPr>
            <w:tcW w:w="1387" w:type="dxa"/>
            <w:tcBorders>
              <w:top w:val="nil"/>
              <w:left w:val="nil"/>
              <w:bottom w:val="single" w:sz="4" w:space="0" w:color="auto"/>
              <w:right w:val="single" w:sz="4" w:space="0" w:color="auto"/>
            </w:tcBorders>
            <w:shd w:val="clear" w:color="auto" w:fill="auto"/>
            <w:noWrap/>
            <w:vAlign w:val="bottom"/>
            <w:hideMark/>
          </w:tcPr>
          <w:p w14:paraId="2DCD5A8C"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0.007787343</w:t>
            </w:r>
          </w:p>
        </w:tc>
        <w:tc>
          <w:tcPr>
            <w:tcW w:w="704" w:type="dxa"/>
            <w:tcBorders>
              <w:top w:val="nil"/>
              <w:left w:val="nil"/>
              <w:bottom w:val="single" w:sz="4" w:space="0" w:color="auto"/>
              <w:right w:val="single" w:sz="4" w:space="0" w:color="auto"/>
            </w:tcBorders>
            <w:shd w:val="clear" w:color="auto" w:fill="auto"/>
            <w:noWrap/>
            <w:vAlign w:val="bottom"/>
            <w:hideMark/>
          </w:tcPr>
          <w:p w14:paraId="3A1769C7"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2F41C49F"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Temporal</w:t>
            </w:r>
          </w:p>
        </w:tc>
        <w:tc>
          <w:tcPr>
            <w:tcW w:w="2523" w:type="dxa"/>
            <w:tcBorders>
              <w:top w:val="nil"/>
              <w:left w:val="nil"/>
              <w:bottom w:val="single" w:sz="4" w:space="0" w:color="auto"/>
              <w:right w:val="single" w:sz="4" w:space="0" w:color="auto"/>
            </w:tcBorders>
            <w:shd w:val="clear" w:color="auto" w:fill="auto"/>
            <w:noWrap/>
            <w:vAlign w:val="bottom"/>
            <w:hideMark/>
          </w:tcPr>
          <w:p w14:paraId="0920CCA0"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Middle Temporal Gyrus</w:t>
            </w:r>
          </w:p>
        </w:tc>
        <w:tc>
          <w:tcPr>
            <w:tcW w:w="473" w:type="dxa"/>
            <w:tcBorders>
              <w:top w:val="nil"/>
              <w:left w:val="nil"/>
              <w:bottom w:val="single" w:sz="4" w:space="0" w:color="auto"/>
              <w:right w:val="single" w:sz="4" w:space="0" w:color="auto"/>
            </w:tcBorders>
            <w:shd w:val="clear" w:color="auto" w:fill="auto"/>
            <w:noWrap/>
            <w:vAlign w:val="bottom"/>
            <w:hideMark/>
          </w:tcPr>
          <w:p w14:paraId="4A56C6D4" w14:textId="77777777" w:rsidR="00502F34" w:rsidRPr="00502F34" w:rsidRDefault="00502F34" w:rsidP="00502F34">
            <w:pPr>
              <w:jc w:val="center"/>
              <w:rPr>
                <w:rFonts w:ascii="Calibri" w:eastAsia="Times New Roman" w:hAnsi="Calibri" w:cs="Calibri"/>
                <w:sz w:val="22"/>
                <w:szCs w:val="22"/>
                <w:lang w:eastAsia="en-GB"/>
              </w:rPr>
            </w:pPr>
            <w:r w:rsidRPr="00502F34">
              <w:rPr>
                <w:rFonts w:ascii="Calibri" w:eastAsia="Times New Roman" w:hAnsi="Calibri" w:cs="Calibri"/>
                <w:sz w:val="22"/>
                <w:szCs w:val="22"/>
                <w:lang w:eastAsia="en-GB"/>
              </w:rPr>
              <w:t>21</w:t>
            </w:r>
          </w:p>
        </w:tc>
      </w:tr>
      <w:tr w:rsidR="00502F34" w:rsidRPr="00502F34" w14:paraId="1A3666B7"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2883AD5"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7F45E41A"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9</w:t>
            </w:r>
          </w:p>
        </w:tc>
        <w:tc>
          <w:tcPr>
            <w:tcW w:w="900" w:type="dxa"/>
            <w:tcBorders>
              <w:top w:val="nil"/>
              <w:left w:val="nil"/>
              <w:bottom w:val="single" w:sz="4" w:space="0" w:color="auto"/>
              <w:right w:val="single" w:sz="4" w:space="0" w:color="auto"/>
            </w:tcBorders>
            <w:shd w:val="clear" w:color="auto" w:fill="auto"/>
            <w:noWrap/>
            <w:vAlign w:val="bottom"/>
            <w:hideMark/>
          </w:tcPr>
          <w:p w14:paraId="374CBAC6"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30.3</w:t>
            </w:r>
          </w:p>
        </w:tc>
        <w:tc>
          <w:tcPr>
            <w:tcW w:w="851" w:type="dxa"/>
            <w:tcBorders>
              <w:top w:val="nil"/>
              <w:left w:val="nil"/>
              <w:bottom w:val="single" w:sz="4" w:space="0" w:color="auto"/>
              <w:right w:val="single" w:sz="4" w:space="0" w:color="auto"/>
            </w:tcBorders>
            <w:shd w:val="clear" w:color="auto" w:fill="auto"/>
            <w:noWrap/>
            <w:vAlign w:val="bottom"/>
            <w:hideMark/>
          </w:tcPr>
          <w:p w14:paraId="15A60530"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-81.85</w:t>
            </w:r>
          </w:p>
        </w:tc>
        <w:tc>
          <w:tcPr>
            <w:tcW w:w="850" w:type="dxa"/>
            <w:tcBorders>
              <w:top w:val="nil"/>
              <w:left w:val="nil"/>
              <w:bottom w:val="single" w:sz="4" w:space="0" w:color="auto"/>
              <w:right w:val="single" w:sz="4" w:space="0" w:color="auto"/>
            </w:tcBorders>
            <w:shd w:val="clear" w:color="auto" w:fill="auto"/>
            <w:noWrap/>
            <w:vAlign w:val="bottom"/>
            <w:hideMark/>
          </w:tcPr>
          <w:p w14:paraId="1D21D250"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6.562</w:t>
            </w:r>
          </w:p>
        </w:tc>
        <w:tc>
          <w:tcPr>
            <w:tcW w:w="1387" w:type="dxa"/>
            <w:tcBorders>
              <w:top w:val="nil"/>
              <w:left w:val="nil"/>
              <w:bottom w:val="single" w:sz="4" w:space="0" w:color="auto"/>
              <w:right w:val="single" w:sz="4" w:space="0" w:color="auto"/>
            </w:tcBorders>
            <w:shd w:val="clear" w:color="auto" w:fill="auto"/>
            <w:noWrap/>
            <w:vAlign w:val="bottom"/>
            <w:hideMark/>
          </w:tcPr>
          <w:p w14:paraId="358E12AB"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0.007787312</w:t>
            </w:r>
          </w:p>
        </w:tc>
        <w:tc>
          <w:tcPr>
            <w:tcW w:w="704" w:type="dxa"/>
            <w:tcBorders>
              <w:top w:val="nil"/>
              <w:left w:val="nil"/>
              <w:bottom w:val="single" w:sz="4" w:space="0" w:color="auto"/>
              <w:right w:val="single" w:sz="4" w:space="0" w:color="auto"/>
            </w:tcBorders>
            <w:shd w:val="clear" w:color="auto" w:fill="auto"/>
            <w:noWrap/>
            <w:vAlign w:val="bottom"/>
            <w:hideMark/>
          </w:tcPr>
          <w:p w14:paraId="266EE82A"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R</w:t>
            </w:r>
          </w:p>
        </w:tc>
        <w:tc>
          <w:tcPr>
            <w:tcW w:w="1170" w:type="dxa"/>
            <w:tcBorders>
              <w:top w:val="nil"/>
              <w:left w:val="nil"/>
              <w:bottom w:val="single" w:sz="4" w:space="0" w:color="auto"/>
              <w:right w:val="single" w:sz="4" w:space="0" w:color="auto"/>
            </w:tcBorders>
            <w:shd w:val="clear" w:color="auto" w:fill="auto"/>
            <w:noWrap/>
            <w:vAlign w:val="bottom"/>
            <w:hideMark/>
          </w:tcPr>
          <w:p w14:paraId="07CD5606"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Occipital</w:t>
            </w:r>
          </w:p>
        </w:tc>
        <w:tc>
          <w:tcPr>
            <w:tcW w:w="2523" w:type="dxa"/>
            <w:tcBorders>
              <w:top w:val="nil"/>
              <w:left w:val="nil"/>
              <w:bottom w:val="single" w:sz="4" w:space="0" w:color="auto"/>
              <w:right w:val="single" w:sz="4" w:space="0" w:color="auto"/>
            </w:tcBorders>
            <w:shd w:val="clear" w:color="auto" w:fill="auto"/>
            <w:noWrap/>
            <w:vAlign w:val="bottom"/>
            <w:hideMark/>
          </w:tcPr>
          <w:p w14:paraId="6B69D195"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Middle Occipital Gyrus</w:t>
            </w:r>
          </w:p>
        </w:tc>
        <w:tc>
          <w:tcPr>
            <w:tcW w:w="473" w:type="dxa"/>
            <w:tcBorders>
              <w:top w:val="nil"/>
              <w:left w:val="nil"/>
              <w:bottom w:val="single" w:sz="4" w:space="0" w:color="auto"/>
              <w:right w:val="single" w:sz="4" w:space="0" w:color="auto"/>
            </w:tcBorders>
            <w:shd w:val="clear" w:color="auto" w:fill="auto"/>
            <w:noWrap/>
            <w:vAlign w:val="bottom"/>
            <w:hideMark/>
          </w:tcPr>
          <w:p w14:paraId="559A442D" w14:textId="77777777" w:rsidR="00502F34" w:rsidRPr="00502F34" w:rsidRDefault="00502F34" w:rsidP="00502F34">
            <w:pPr>
              <w:jc w:val="center"/>
              <w:rPr>
                <w:rFonts w:ascii="Calibri" w:eastAsia="Times New Roman" w:hAnsi="Calibri" w:cs="Calibri"/>
                <w:sz w:val="22"/>
                <w:szCs w:val="22"/>
                <w:lang w:eastAsia="en-GB"/>
              </w:rPr>
            </w:pPr>
            <w:r w:rsidRPr="00502F34">
              <w:rPr>
                <w:rFonts w:ascii="Calibri" w:eastAsia="Times New Roman" w:hAnsi="Calibri" w:cs="Calibri"/>
                <w:sz w:val="22"/>
                <w:szCs w:val="22"/>
                <w:lang w:eastAsia="en-GB"/>
              </w:rPr>
              <w:t>19</w:t>
            </w:r>
          </w:p>
        </w:tc>
      </w:tr>
      <w:tr w:rsidR="00502F34" w:rsidRPr="00502F34" w14:paraId="6FFB5899"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340F3154"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45E43BDB"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10</w:t>
            </w:r>
          </w:p>
        </w:tc>
        <w:tc>
          <w:tcPr>
            <w:tcW w:w="900" w:type="dxa"/>
            <w:tcBorders>
              <w:top w:val="nil"/>
              <w:left w:val="nil"/>
              <w:bottom w:val="single" w:sz="4" w:space="0" w:color="auto"/>
              <w:right w:val="single" w:sz="4" w:space="0" w:color="auto"/>
            </w:tcBorders>
            <w:shd w:val="clear" w:color="auto" w:fill="auto"/>
            <w:noWrap/>
            <w:vAlign w:val="bottom"/>
            <w:hideMark/>
          </w:tcPr>
          <w:p w14:paraId="5FD92051"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-42.42</w:t>
            </w:r>
          </w:p>
        </w:tc>
        <w:tc>
          <w:tcPr>
            <w:tcW w:w="851" w:type="dxa"/>
            <w:tcBorders>
              <w:top w:val="nil"/>
              <w:left w:val="nil"/>
              <w:bottom w:val="single" w:sz="4" w:space="0" w:color="auto"/>
              <w:right w:val="single" w:sz="4" w:space="0" w:color="auto"/>
            </w:tcBorders>
            <w:shd w:val="clear" w:color="auto" w:fill="auto"/>
            <w:noWrap/>
            <w:vAlign w:val="bottom"/>
            <w:hideMark/>
          </w:tcPr>
          <w:p w14:paraId="27B9A283"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-2.782</w:t>
            </w:r>
          </w:p>
        </w:tc>
        <w:tc>
          <w:tcPr>
            <w:tcW w:w="850" w:type="dxa"/>
            <w:tcBorders>
              <w:top w:val="nil"/>
              <w:left w:val="nil"/>
              <w:bottom w:val="single" w:sz="4" w:space="0" w:color="auto"/>
              <w:right w:val="single" w:sz="4" w:space="0" w:color="auto"/>
            </w:tcBorders>
            <w:shd w:val="clear" w:color="auto" w:fill="auto"/>
            <w:noWrap/>
            <w:vAlign w:val="bottom"/>
            <w:hideMark/>
          </w:tcPr>
          <w:p w14:paraId="179C4253"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36.85</w:t>
            </w:r>
          </w:p>
        </w:tc>
        <w:tc>
          <w:tcPr>
            <w:tcW w:w="1387" w:type="dxa"/>
            <w:tcBorders>
              <w:top w:val="nil"/>
              <w:left w:val="nil"/>
              <w:bottom w:val="single" w:sz="4" w:space="0" w:color="auto"/>
              <w:right w:val="single" w:sz="4" w:space="0" w:color="auto"/>
            </w:tcBorders>
            <w:shd w:val="clear" w:color="auto" w:fill="auto"/>
            <w:noWrap/>
            <w:vAlign w:val="bottom"/>
            <w:hideMark/>
          </w:tcPr>
          <w:p w14:paraId="60A92F9C"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0.007787312</w:t>
            </w:r>
          </w:p>
        </w:tc>
        <w:tc>
          <w:tcPr>
            <w:tcW w:w="704" w:type="dxa"/>
            <w:tcBorders>
              <w:top w:val="nil"/>
              <w:left w:val="nil"/>
              <w:bottom w:val="single" w:sz="4" w:space="0" w:color="auto"/>
              <w:right w:val="single" w:sz="4" w:space="0" w:color="auto"/>
            </w:tcBorders>
            <w:shd w:val="clear" w:color="auto" w:fill="auto"/>
            <w:noWrap/>
            <w:vAlign w:val="bottom"/>
            <w:hideMark/>
          </w:tcPr>
          <w:p w14:paraId="55945C1F"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379EF30B"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67DEC868"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Precentral Gyrus</w:t>
            </w:r>
          </w:p>
        </w:tc>
        <w:tc>
          <w:tcPr>
            <w:tcW w:w="473" w:type="dxa"/>
            <w:tcBorders>
              <w:top w:val="nil"/>
              <w:left w:val="nil"/>
              <w:bottom w:val="single" w:sz="4" w:space="0" w:color="auto"/>
              <w:right w:val="single" w:sz="4" w:space="0" w:color="auto"/>
            </w:tcBorders>
            <w:shd w:val="clear" w:color="auto" w:fill="auto"/>
            <w:noWrap/>
            <w:vAlign w:val="bottom"/>
            <w:hideMark/>
          </w:tcPr>
          <w:p w14:paraId="68BB2EB2" w14:textId="77777777" w:rsidR="00502F34" w:rsidRPr="00502F34" w:rsidRDefault="00502F34" w:rsidP="00502F34">
            <w:pPr>
              <w:jc w:val="center"/>
              <w:rPr>
                <w:rFonts w:ascii="Calibri" w:eastAsia="Times New Roman" w:hAnsi="Calibri" w:cs="Calibri"/>
                <w:sz w:val="22"/>
                <w:szCs w:val="22"/>
                <w:lang w:eastAsia="en-GB"/>
              </w:rPr>
            </w:pPr>
            <w:r w:rsidRPr="00502F34">
              <w:rPr>
                <w:rFonts w:ascii="Calibri" w:eastAsia="Times New Roman" w:hAnsi="Calibri" w:cs="Calibri"/>
                <w:sz w:val="22"/>
                <w:szCs w:val="22"/>
                <w:lang w:eastAsia="en-GB"/>
              </w:rPr>
              <w:t>6</w:t>
            </w:r>
          </w:p>
        </w:tc>
      </w:tr>
      <w:tr w:rsidR="00502F34" w:rsidRPr="00502F34" w14:paraId="4B3E96F7"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1882E20A"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7026683B"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11</w:t>
            </w:r>
          </w:p>
        </w:tc>
        <w:tc>
          <w:tcPr>
            <w:tcW w:w="900" w:type="dxa"/>
            <w:tcBorders>
              <w:top w:val="nil"/>
              <w:left w:val="nil"/>
              <w:bottom w:val="single" w:sz="4" w:space="0" w:color="auto"/>
              <w:right w:val="single" w:sz="4" w:space="0" w:color="auto"/>
            </w:tcBorders>
            <w:shd w:val="clear" w:color="auto" w:fill="auto"/>
            <w:noWrap/>
            <w:vAlign w:val="bottom"/>
            <w:hideMark/>
          </w:tcPr>
          <w:p w14:paraId="0C798E08"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48.48</w:t>
            </w:r>
          </w:p>
        </w:tc>
        <w:tc>
          <w:tcPr>
            <w:tcW w:w="851" w:type="dxa"/>
            <w:tcBorders>
              <w:top w:val="nil"/>
              <w:left w:val="nil"/>
              <w:bottom w:val="single" w:sz="4" w:space="0" w:color="auto"/>
              <w:right w:val="single" w:sz="4" w:space="0" w:color="auto"/>
            </w:tcBorders>
            <w:shd w:val="clear" w:color="auto" w:fill="auto"/>
            <w:noWrap/>
            <w:vAlign w:val="bottom"/>
            <w:hideMark/>
          </w:tcPr>
          <w:p w14:paraId="2E4A8048"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3.086</w:t>
            </w:r>
          </w:p>
        </w:tc>
        <w:tc>
          <w:tcPr>
            <w:tcW w:w="850" w:type="dxa"/>
            <w:tcBorders>
              <w:top w:val="nil"/>
              <w:left w:val="nil"/>
              <w:bottom w:val="single" w:sz="4" w:space="0" w:color="auto"/>
              <w:right w:val="single" w:sz="4" w:space="0" w:color="auto"/>
            </w:tcBorders>
            <w:shd w:val="clear" w:color="auto" w:fill="auto"/>
            <w:noWrap/>
            <w:vAlign w:val="bottom"/>
            <w:hideMark/>
          </w:tcPr>
          <w:p w14:paraId="7B28068C"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43.69</w:t>
            </w:r>
          </w:p>
        </w:tc>
        <w:tc>
          <w:tcPr>
            <w:tcW w:w="1387" w:type="dxa"/>
            <w:tcBorders>
              <w:top w:val="nil"/>
              <w:left w:val="nil"/>
              <w:bottom w:val="single" w:sz="4" w:space="0" w:color="auto"/>
              <w:right w:val="single" w:sz="4" w:space="0" w:color="auto"/>
            </w:tcBorders>
            <w:shd w:val="clear" w:color="auto" w:fill="auto"/>
            <w:noWrap/>
            <w:vAlign w:val="bottom"/>
            <w:hideMark/>
          </w:tcPr>
          <w:p w14:paraId="49901222"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0.007787312</w:t>
            </w:r>
          </w:p>
        </w:tc>
        <w:tc>
          <w:tcPr>
            <w:tcW w:w="704" w:type="dxa"/>
            <w:tcBorders>
              <w:top w:val="nil"/>
              <w:left w:val="nil"/>
              <w:bottom w:val="single" w:sz="4" w:space="0" w:color="auto"/>
              <w:right w:val="single" w:sz="4" w:space="0" w:color="auto"/>
            </w:tcBorders>
            <w:shd w:val="clear" w:color="auto" w:fill="auto"/>
            <w:noWrap/>
            <w:vAlign w:val="bottom"/>
            <w:hideMark/>
          </w:tcPr>
          <w:p w14:paraId="37148422"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R</w:t>
            </w:r>
          </w:p>
        </w:tc>
        <w:tc>
          <w:tcPr>
            <w:tcW w:w="1170" w:type="dxa"/>
            <w:tcBorders>
              <w:top w:val="nil"/>
              <w:left w:val="nil"/>
              <w:bottom w:val="single" w:sz="4" w:space="0" w:color="auto"/>
              <w:right w:val="single" w:sz="4" w:space="0" w:color="auto"/>
            </w:tcBorders>
            <w:shd w:val="clear" w:color="auto" w:fill="auto"/>
            <w:noWrap/>
            <w:vAlign w:val="bottom"/>
            <w:hideMark/>
          </w:tcPr>
          <w:p w14:paraId="291DE7C4"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7B5114C1"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Middle Frontal Gyrus</w:t>
            </w:r>
          </w:p>
        </w:tc>
        <w:tc>
          <w:tcPr>
            <w:tcW w:w="473" w:type="dxa"/>
            <w:tcBorders>
              <w:top w:val="nil"/>
              <w:left w:val="nil"/>
              <w:bottom w:val="single" w:sz="4" w:space="0" w:color="auto"/>
              <w:right w:val="single" w:sz="4" w:space="0" w:color="auto"/>
            </w:tcBorders>
            <w:shd w:val="clear" w:color="auto" w:fill="auto"/>
            <w:noWrap/>
            <w:vAlign w:val="bottom"/>
            <w:hideMark/>
          </w:tcPr>
          <w:p w14:paraId="7096260C" w14:textId="77777777" w:rsidR="00502F34" w:rsidRPr="00502F34" w:rsidRDefault="00502F34" w:rsidP="00502F34">
            <w:pPr>
              <w:jc w:val="center"/>
              <w:rPr>
                <w:rFonts w:ascii="Calibri" w:eastAsia="Times New Roman" w:hAnsi="Calibri" w:cs="Calibri"/>
                <w:sz w:val="22"/>
                <w:szCs w:val="22"/>
                <w:lang w:eastAsia="en-GB"/>
              </w:rPr>
            </w:pPr>
            <w:r w:rsidRPr="00502F34">
              <w:rPr>
                <w:rFonts w:ascii="Calibri" w:eastAsia="Times New Roman" w:hAnsi="Calibri" w:cs="Calibri"/>
                <w:sz w:val="22"/>
                <w:szCs w:val="22"/>
                <w:lang w:eastAsia="en-GB"/>
              </w:rPr>
              <w:t>6</w:t>
            </w:r>
          </w:p>
        </w:tc>
      </w:tr>
      <w:tr w:rsidR="00502F34" w:rsidRPr="00502F34" w14:paraId="3121D3D0"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3B325E44"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16573D0F"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12</w:t>
            </w:r>
          </w:p>
        </w:tc>
        <w:tc>
          <w:tcPr>
            <w:tcW w:w="900" w:type="dxa"/>
            <w:tcBorders>
              <w:top w:val="nil"/>
              <w:left w:val="nil"/>
              <w:bottom w:val="single" w:sz="4" w:space="0" w:color="auto"/>
              <w:right w:val="single" w:sz="4" w:space="0" w:color="auto"/>
            </w:tcBorders>
            <w:shd w:val="clear" w:color="auto" w:fill="auto"/>
            <w:noWrap/>
            <w:vAlign w:val="bottom"/>
            <w:hideMark/>
          </w:tcPr>
          <w:p w14:paraId="2BCE2092"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-52.53</w:t>
            </w:r>
          </w:p>
        </w:tc>
        <w:tc>
          <w:tcPr>
            <w:tcW w:w="851" w:type="dxa"/>
            <w:tcBorders>
              <w:top w:val="nil"/>
              <w:left w:val="nil"/>
              <w:bottom w:val="single" w:sz="4" w:space="0" w:color="auto"/>
              <w:right w:val="single" w:sz="4" w:space="0" w:color="auto"/>
            </w:tcBorders>
            <w:shd w:val="clear" w:color="auto" w:fill="auto"/>
            <w:noWrap/>
            <w:vAlign w:val="bottom"/>
            <w:hideMark/>
          </w:tcPr>
          <w:p w14:paraId="1DC45CC1"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-74.23</w:t>
            </w:r>
          </w:p>
        </w:tc>
        <w:tc>
          <w:tcPr>
            <w:tcW w:w="850" w:type="dxa"/>
            <w:tcBorders>
              <w:top w:val="nil"/>
              <w:left w:val="nil"/>
              <w:bottom w:val="single" w:sz="4" w:space="0" w:color="auto"/>
              <w:right w:val="single" w:sz="4" w:space="0" w:color="auto"/>
            </w:tcBorders>
            <w:shd w:val="clear" w:color="auto" w:fill="auto"/>
            <w:noWrap/>
            <w:vAlign w:val="bottom"/>
            <w:hideMark/>
          </w:tcPr>
          <w:p w14:paraId="1127182E"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-1.907</w:t>
            </w:r>
          </w:p>
        </w:tc>
        <w:tc>
          <w:tcPr>
            <w:tcW w:w="1387" w:type="dxa"/>
            <w:tcBorders>
              <w:top w:val="nil"/>
              <w:left w:val="nil"/>
              <w:bottom w:val="single" w:sz="4" w:space="0" w:color="auto"/>
              <w:right w:val="single" w:sz="4" w:space="0" w:color="auto"/>
            </w:tcBorders>
            <w:shd w:val="clear" w:color="auto" w:fill="auto"/>
            <w:noWrap/>
            <w:vAlign w:val="bottom"/>
            <w:hideMark/>
          </w:tcPr>
          <w:p w14:paraId="23D75BCD"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0.008036611</w:t>
            </w:r>
          </w:p>
        </w:tc>
        <w:tc>
          <w:tcPr>
            <w:tcW w:w="704" w:type="dxa"/>
            <w:tcBorders>
              <w:top w:val="nil"/>
              <w:left w:val="nil"/>
              <w:bottom w:val="single" w:sz="4" w:space="0" w:color="auto"/>
              <w:right w:val="single" w:sz="4" w:space="0" w:color="auto"/>
            </w:tcBorders>
            <w:shd w:val="clear" w:color="auto" w:fill="auto"/>
            <w:noWrap/>
            <w:vAlign w:val="bottom"/>
            <w:hideMark/>
          </w:tcPr>
          <w:p w14:paraId="17E99F11"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78880F9C"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Occipital</w:t>
            </w:r>
          </w:p>
        </w:tc>
        <w:tc>
          <w:tcPr>
            <w:tcW w:w="2523" w:type="dxa"/>
            <w:tcBorders>
              <w:top w:val="nil"/>
              <w:left w:val="nil"/>
              <w:bottom w:val="single" w:sz="4" w:space="0" w:color="auto"/>
              <w:right w:val="single" w:sz="4" w:space="0" w:color="auto"/>
            </w:tcBorders>
            <w:shd w:val="clear" w:color="auto" w:fill="auto"/>
            <w:noWrap/>
            <w:vAlign w:val="bottom"/>
            <w:hideMark/>
          </w:tcPr>
          <w:p w14:paraId="16CBDBF8"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Inferior Temporal Gyrus</w:t>
            </w:r>
          </w:p>
        </w:tc>
        <w:tc>
          <w:tcPr>
            <w:tcW w:w="473" w:type="dxa"/>
            <w:tcBorders>
              <w:top w:val="nil"/>
              <w:left w:val="nil"/>
              <w:bottom w:val="single" w:sz="4" w:space="0" w:color="auto"/>
              <w:right w:val="single" w:sz="4" w:space="0" w:color="auto"/>
            </w:tcBorders>
            <w:shd w:val="clear" w:color="auto" w:fill="auto"/>
            <w:noWrap/>
            <w:vAlign w:val="bottom"/>
            <w:hideMark/>
          </w:tcPr>
          <w:p w14:paraId="25C27C28" w14:textId="77777777" w:rsidR="00502F34" w:rsidRPr="00502F34" w:rsidRDefault="00502F34" w:rsidP="00502F34">
            <w:pPr>
              <w:jc w:val="center"/>
              <w:rPr>
                <w:rFonts w:ascii="Calibri" w:eastAsia="Times New Roman" w:hAnsi="Calibri" w:cs="Calibri"/>
                <w:sz w:val="22"/>
                <w:szCs w:val="22"/>
                <w:lang w:eastAsia="en-GB"/>
              </w:rPr>
            </w:pPr>
            <w:r w:rsidRPr="00502F34">
              <w:rPr>
                <w:rFonts w:ascii="Calibri" w:eastAsia="Times New Roman" w:hAnsi="Calibri" w:cs="Calibri"/>
                <w:sz w:val="22"/>
                <w:szCs w:val="22"/>
                <w:lang w:eastAsia="en-GB"/>
              </w:rPr>
              <w:t>37</w:t>
            </w:r>
          </w:p>
        </w:tc>
      </w:tr>
      <w:tr w:rsidR="00502F34" w:rsidRPr="00502F34" w14:paraId="312B95C8"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9C79EC3"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7A2294A0"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13</w:t>
            </w:r>
          </w:p>
        </w:tc>
        <w:tc>
          <w:tcPr>
            <w:tcW w:w="900" w:type="dxa"/>
            <w:tcBorders>
              <w:top w:val="nil"/>
              <w:left w:val="nil"/>
              <w:bottom w:val="single" w:sz="4" w:space="0" w:color="auto"/>
              <w:right w:val="single" w:sz="4" w:space="0" w:color="auto"/>
            </w:tcBorders>
            <w:shd w:val="clear" w:color="auto" w:fill="auto"/>
            <w:noWrap/>
            <w:vAlign w:val="bottom"/>
            <w:hideMark/>
          </w:tcPr>
          <w:p w14:paraId="1BACACA6"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6.061</w:t>
            </w:r>
          </w:p>
        </w:tc>
        <w:tc>
          <w:tcPr>
            <w:tcW w:w="851" w:type="dxa"/>
            <w:tcBorders>
              <w:top w:val="nil"/>
              <w:left w:val="nil"/>
              <w:bottom w:val="single" w:sz="4" w:space="0" w:color="auto"/>
              <w:right w:val="single" w:sz="4" w:space="0" w:color="auto"/>
            </w:tcBorders>
            <w:shd w:val="clear" w:color="auto" w:fill="auto"/>
            <w:noWrap/>
            <w:vAlign w:val="bottom"/>
            <w:hideMark/>
          </w:tcPr>
          <w:p w14:paraId="4A680CC8"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51.37</w:t>
            </w:r>
          </w:p>
        </w:tc>
        <w:tc>
          <w:tcPr>
            <w:tcW w:w="850" w:type="dxa"/>
            <w:tcBorders>
              <w:top w:val="nil"/>
              <w:left w:val="nil"/>
              <w:bottom w:val="single" w:sz="4" w:space="0" w:color="auto"/>
              <w:right w:val="single" w:sz="4" w:space="0" w:color="auto"/>
            </w:tcBorders>
            <w:shd w:val="clear" w:color="auto" w:fill="auto"/>
            <w:noWrap/>
            <w:vAlign w:val="bottom"/>
            <w:hideMark/>
          </w:tcPr>
          <w:p w14:paraId="14BF4281"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48.42</w:t>
            </w:r>
          </w:p>
        </w:tc>
        <w:tc>
          <w:tcPr>
            <w:tcW w:w="1387" w:type="dxa"/>
            <w:tcBorders>
              <w:top w:val="nil"/>
              <w:left w:val="nil"/>
              <w:bottom w:val="single" w:sz="4" w:space="0" w:color="auto"/>
              <w:right w:val="single" w:sz="4" w:space="0" w:color="auto"/>
            </w:tcBorders>
            <w:shd w:val="clear" w:color="auto" w:fill="auto"/>
            <w:noWrap/>
            <w:vAlign w:val="bottom"/>
            <w:hideMark/>
          </w:tcPr>
          <w:p w14:paraId="08670D48"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0.008036611</w:t>
            </w:r>
          </w:p>
        </w:tc>
        <w:tc>
          <w:tcPr>
            <w:tcW w:w="704" w:type="dxa"/>
            <w:tcBorders>
              <w:top w:val="nil"/>
              <w:left w:val="nil"/>
              <w:bottom w:val="single" w:sz="4" w:space="0" w:color="auto"/>
              <w:right w:val="single" w:sz="4" w:space="0" w:color="auto"/>
            </w:tcBorders>
            <w:shd w:val="clear" w:color="auto" w:fill="auto"/>
            <w:noWrap/>
            <w:vAlign w:val="bottom"/>
            <w:hideMark/>
          </w:tcPr>
          <w:p w14:paraId="74754265"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R</w:t>
            </w:r>
          </w:p>
        </w:tc>
        <w:tc>
          <w:tcPr>
            <w:tcW w:w="1170" w:type="dxa"/>
            <w:tcBorders>
              <w:top w:val="nil"/>
              <w:left w:val="nil"/>
              <w:bottom w:val="single" w:sz="4" w:space="0" w:color="auto"/>
              <w:right w:val="single" w:sz="4" w:space="0" w:color="auto"/>
            </w:tcBorders>
            <w:shd w:val="clear" w:color="auto" w:fill="auto"/>
            <w:noWrap/>
            <w:vAlign w:val="bottom"/>
            <w:hideMark/>
          </w:tcPr>
          <w:p w14:paraId="51810238"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5D3EFCFA"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Medial Frontal Gyrus</w:t>
            </w:r>
          </w:p>
        </w:tc>
        <w:tc>
          <w:tcPr>
            <w:tcW w:w="473" w:type="dxa"/>
            <w:tcBorders>
              <w:top w:val="nil"/>
              <w:left w:val="nil"/>
              <w:bottom w:val="single" w:sz="4" w:space="0" w:color="auto"/>
              <w:right w:val="single" w:sz="4" w:space="0" w:color="auto"/>
            </w:tcBorders>
            <w:shd w:val="clear" w:color="auto" w:fill="auto"/>
            <w:noWrap/>
            <w:vAlign w:val="bottom"/>
            <w:hideMark/>
          </w:tcPr>
          <w:p w14:paraId="547BEC78" w14:textId="77777777" w:rsidR="00502F34" w:rsidRPr="00502F34" w:rsidRDefault="00502F34" w:rsidP="00502F34">
            <w:pPr>
              <w:jc w:val="center"/>
              <w:rPr>
                <w:rFonts w:ascii="Calibri" w:eastAsia="Times New Roman" w:hAnsi="Calibri" w:cs="Calibri"/>
                <w:sz w:val="22"/>
                <w:szCs w:val="22"/>
                <w:lang w:eastAsia="en-GB"/>
              </w:rPr>
            </w:pPr>
            <w:r w:rsidRPr="00502F34">
              <w:rPr>
                <w:rFonts w:ascii="Calibri" w:eastAsia="Times New Roman" w:hAnsi="Calibri" w:cs="Calibri"/>
                <w:sz w:val="22"/>
                <w:szCs w:val="22"/>
                <w:lang w:eastAsia="en-GB"/>
              </w:rPr>
              <w:t>8</w:t>
            </w:r>
          </w:p>
        </w:tc>
      </w:tr>
      <w:tr w:rsidR="00502F34" w:rsidRPr="00502F34" w14:paraId="193BD777"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01DD97E"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442DADAF"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14</w:t>
            </w:r>
          </w:p>
        </w:tc>
        <w:tc>
          <w:tcPr>
            <w:tcW w:w="900" w:type="dxa"/>
            <w:tcBorders>
              <w:top w:val="nil"/>
              <w:left w:val="nil"/>
              <w:bottom w:val="single" w:sz="4" w:space="0" w:color="auto"/>
              <w:right w:val="single" w:sz="4" w:space="0" w:color="auto"/>
            </w:tcBorders>
            <w:shd w:val="clear" w:color="auto" w:fill="auto"/>
            <w:noWrap/>
            <w:vAlign w:val="bottom"/>
            <w:hideMark/>
          </w:tcPr>
          <w:p w14:paraId="276CF69B"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-54.55</w:t>
            </w:r>
          </w:p>
        </w:tc>
        <w:tc>
          <w:tcPr>
            <w:tcW w:w="851" w:type="dxa"/>
            <w:tcBorders>
              <w:top w:val="nil"/>
              <w:left w:val="nil"/>
              <w:bottom w:val="single" w:sz="4" w:space="0" w:color="auto"/>
              <w:right w:val="single" w:sz="4" w:space="0" w:color="auto"/>
            </w:tcBorders>
            <w:shd w:val="clear" w:color="auto" w:fill="auto"/>
            <w:noWrap/>
            <w:vAlign w:val="bottom"/>
            <w:hideMark/>
          </w:tcPr>
          <w:p w14:paraId="1A3D5E98"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-31.41</w:t>
            </w:r>
          </w:p>
        </w:tc>
        <w:tc>
          <w:tcPr>
            <w:tcW w:w="850" w:type="dxa"/>
            <w:tcBorders>
              <w:top w:val="nil"/>
              <w:left w:val="nil"/>
              <w:bottom w:val="single" w:sz="4" w:space="0" w:color="auto"/>
              <w:right w:val="single" w:sz="4" w:space="0" w:color="auto"/>
            </w:tcBorders>
            <w:shd w:val="clear" w:color="auto" w:fill="auto"/>
            <w:noWrap/>
            <w:vAlign w:val="bottom"/>
            <w:hideMark/>
          </w:tcPr>
          <w:p w14:paraId="3F62AF3B"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52.76</w:t>
            </w:r>
          </w:p>
        </w:tc>
        <w:tc>
          <w:tcPr>
            <w:tcW w:w="1387" w:type="dxa"/>
            <w:tcBorders>
              <w:top w:val="nil"/>
              <w:left w:val="nil"/>
              <w:bottom w:val="single" w:sz="4" w:space="0" w:color="auto"/>
              <w:right w:val="single" w:sz="4" w:space="0" w:color="auto"/>
            </w:tcBorders>
            <w:shd w:val="clear" w:color="auto" w:fill="auto"/>
            <w:noWrap/>
            <w:vAlign w:val="bottom"/>
            <w:hideMark/>
          </w:tcPr>
          <w:p w14:paraId="47E9453F"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0.007084864</w:t>
            </w:r>
          </w:p>
        </w:tc>
        <w:tc>
          <w:tcPr>
            <w:tcW w:w="704" w:type="dxa"/>
            <w:tcBorders>
              <w:top w:val="nil"/>
              <w:left w:val="nil"/>
              <w:bottom w:val="single" w:sz="4" w:space="0" w:color="auto"/>
              <w:right w:val="single" w:sz="4" w:space="0" w:color="auto"/>
            </w:tcBorders>
            <w:shd w:val="clear" w:color="auto" w:fill="auto"/>
            <w:noWrap/>
            <w:vAlign w:val="bottom"/>
            <w:hideMark/>
          </w:tcPr>
          <w:p w14:paraId="5B12616B"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L</w:t>
            </w:r>
          </w:p>
        </w:tc>
        <w:tc>
          <w:tcPr>
            <w:tcW w:w="1170" w:type="dxa"/>
            <w:tcBorders>
              <w:top w:val="nil"/>
              <w:left w:val="nil"/>
              <w:bottom w:val="single" w:sz="4" w:space="0" w:color="auto"/>
              <w:right w:val="single" w:sz="4" w:space="0" w:color="auto"/>
            </w:tcBorders>
            <w:shd w:val="clear" w:color="auto" w:fill="auto"/>
            <w:noWrap/>
            <w:vAlign w:val="bottom"/>
            <w:hideMark/>
          </w:tcPr>
          <w:p w14:paraId="6B303669"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Parietal</w:t>
            </w:r>
          </w:p>
        </w:tc>
        <w:tc>
          <w:tcPr>
            <w:tcW w:w="2523" w:type="dxa"/>
            <w:tcBorders>
              <w:top w:val="nil"/>
              <w:left w:val="nil"/>
              <w:bottom w:val="single" w:sz="4" w:space="0" w:color="auto"/>
              <w:right w:val="single" w:sz="4" w:space="0" w:color="auto"/>
            </w:tcBorders>
            <w:shd w:val="clear" w:color="auto" w:fill="auto"/>
            <w:noWrap/>
            <w:vAlign w:val="bottom"/>
            <w:hideMark/>
          </w:tcPr>
          <w:p w14:paraId="33A4539B"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Postcentral Gyrus</w:t>
            </w:r>
          </w:p>
        </w:tc>
        <w:tc>
          <w:tcPr>
            <w:tcW w:w="473" w:type="dxa"/>
            <w:tcBorders>
              <w:top w:val="nil"/>
              <w:left w:val="nil"/>
              <w:bottom w:val="single" w:sz="4" w:space="0" w:color="auto"/>
              <w:right w:val="single" w:sz="4" w:space="0" w:color="auto"/>
            </w:tcBorders>
            <w:shd w:val="clear" w:color="auto" w:fill="auto"/>
            <w:noWrap/>
            <w:vAlign w:val="bottom"/>
            <w:hideMark/>
          </w:tcPr>
          <w:p w14:paraId="422825B8" w14:textId="77777777" w:rsidR="00502F34" w:rsidRPr="00502F34" w:rsidRDefault="00502F34" w:rsidP="00502F34">
            <w:pPr>
              <w:jc w:val="center"/>
              <w:rPr>
                <w:rFonts w:ascii="Calibri" w:eastAsia="Times New Roman" w:hAnsi="Calibri" w:cs="Calibri"/>
                <w:sz w:val="22"/>
                <w:szCs w:val="22"/>
                <w:lang w:eastAsia="en-GB"/>
              </w:rPr>
            </w:pPr>
            <w:r w:rsidRPr="00502F34">
              <w:rPr>
                <w:rFonts w:ascii="Calibri" w:eastAsia="Times New Roman" w:hAnsi="Calibri" w:cs="Calibri"/>
                <w:sz w:val="22"/>
                <w:szCs w:val="22"/>
                <w:lang w:eastAsia="en-GB"/>
              </w:rPr>
              <w:t>40</w:t>
            </w:r>
          </w:p>
        </w:tc>
      </w:tr>
      <w:tr w:rsidR="00502F34" w:rsidRPr="00502F34" w14:paraId="0C258768" w14:textId="77777777" w:rsidTr="00502F34">
        <w:trPr>
          <w:trHeight w:val="288"/>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27C5BEFB"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14:paraId="683C7959"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15</w:t>
            </w:r>
          </w:p>
        </w:tc>
        <w:tc>
          <w:tcPr>
            <w:tcW w:w="900" w:type="dxa"/>
            <w:tcBorders>
              <w:top w:val="nil"/>
              <w:left w:val="nil"/>
              <w:bottom w:val="single" w:sz="4" w:space="0" w:color="auto"/>
              <w:right w:val="single" w:sz="4" w:space="0" w:color="auto"/>
            </w:tcBorders>
            <w:shd w:val="clear" w:color="auto" w:fill="auto"/>
            <w:noWrap/>
            <w:vAlign w:val="bottom"/>
            <w:hideMark/>
          </w:tcPr>
          <w:p w14:paraId="73084730"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50.51</w:t>
            </w:r>
          </w:p>
        </w:tc>
        <w:tc>
          <w:tcPr>
            <w:tcW w:w="851" w:type="dxa"/>
            <w:tcBorders>
              <w:top w:val="nil"/>
              <w:left w:val="nil"/>
              <w:bottom w:val="single" w:sz="4" w:space="0" w:color="auto"/>
              <w:right w:val="single" w:sz="4" w:space="0" w:color="auto"/>
            </w:tcBorders>
            <w:shd w:val="clear" w:color="auto" w:fill="auto"/>
            <w:noWrap/>
            <w:vAlign w:val="bottom"/>
            <w:hideMark/>
          </w:tcPr>
          <w:p w14:paraId="1F9FDFF2"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27.08</w:t>
            </w:r>
          </w:p>
        </w:tc>
        <w:tc>
          <w:tcPr>
            <w:tcW w:w="850" w:type="dxa"/>
            <w:tcBorders>
              <w:top w:val="nil"/>
              <w:left w:val="nil"/>
              <w:bottom w:val="single" w:sz="4" w:space="0" w:color="auto"/>
              <w:right w:val="single" w:sz="4" w:space="0" w:color="auto"/>
            </w:tcBorders>
            <w:shd w:val="clear" w:color="auto" w:fill="auto"/>
            <w:noWrap/>
            <w:vAlign w:val="bottom"/>
            <w:hideMark/>
          </w:tcPr>
          <w:p w14:paraId="535F02C8"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38.43</w:t>
            </w:r>
          </w:p>
        </w:tc>
        <w:tc>
          <w:tcPr>
            <w:tcW w:w="1387" w:type="dxa"/>
            <w:tcBorders>
              <w:top w:val="nil"/>
              <w:left w:val="nil"/>
              <w:bottom w:val="single" w:sz="4" w:space="0" w:color="auto"/>
              <w:right w:val="single" w:sz="4" w:space="0" w:color="auto"/>
            </w:tcBorders>
            <w:shd w:val="clear" w:color="auto" w:fill="auto"/>
            <w:noWrap/>
            <w:vAlign w:val="bottom"/>
            <w:hideMark/>
          </w:tcPr>
          <w:p w14:paraId="7EFA9183" w14:textId="77777777" w:rsidR="00502F34" w:rsidRPr="00502F34" w:rsidRDefault="00502F34" w:rsidP="00502F34">
            <w:pPr>
              <w:jc w:val="right"/>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0.007545747</w:t>
            </w:r>
          </w:p>
        </w:tc>
        <w:tc>
          <w:tcPr>
            <w:tcW w:w="704" w:type="dxa"/>
            <w:tcBorders>
              <w:top w:val="nil"/>
              <w:left w:val="nil"/>
              <w:bottom w:val="single" w:sz="4" w:space="0" w:color="auto"/>
              <w:right w:val="single" w:sz="4" w:space="0" w:color="auto"/>
            </w:tcBorders>
            <w:shd w:val="clear" w:color="auto" w:fill="auto"/>
            <w:noWrap/>
            <w:vAlign w:val="bottom"/>
            <w:hideMark/>
          </w:tcPr>
          <w:p w14:paraId="6DAD4D24"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R</w:t>
            </w:r>
          </w:p>
        </w:tc>
        <w:tc>
          <w:tcPr>
            <w:tcW w:w="1170" w:type="dxa"/>
            <w:tcBorders>
              <w:top w:val="nil"/>
              <w:left w:val="nil"/>
              <w:bottom w:val="single" w:sz="4" w:space="0" w:color="auto"/>
              <w:right w:val="single" w:sz="4" w:space="0" w:color="auto"/>
            </w:tcBorders>
            <w:shd w:val="clear" w:color="auto" w:fill="auto"/>
            <w:noWrap/>
            <w:vAlign w:val="bottom"/>
            <w:hideMark/>
          </w:tcPr>
          <w:p w14:paraId="2C755657"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Frontal</w:t>
            </w:r>
          </w:p>
        </w:tc>
        <w:tc>
          <w:tcPr>
            <w:tcW w:w="2523" w:type="dxa"/>
            <w:tcBorders>
              <w:top w:val="nil"/>
              <w:left w:val="nil"/>
              <w:bottom w:val="single" w:sz="4" w:space="0" w:color="auto"/>
              <w:right w:val="single" w:sz="4" w:space="0" w:color="auto"/>
            </w:tcBorders>
            <w:shd w:val="clear" w:color="auto" w:fill="auto"/>
            <w:noWrap/>
            <w:vAlign w:val="bottom"/>
            <w:hideMark/>
          </w:tcPr>
          <w:p w14:paraId="2C7E0F9D" w14:textId="77777777" w:rsidR="00502F34" w:rsidRPr="00502F34" w:rsidRDefault="00502F34" w:rsidP="00502F34">
            <w:pPr>
              <w:rPr>
                <w:rFonts w:ascii="Calibri" w:eastAsia="Times New Roman" w:hAnsi="Calibri" w:cs="Calibri"/>
                <w:color w:val="000000"/>
                <w:sz w:val="22"/>
                <w:szCs w:val="22"/>
                <w:lang w:eastAsia="en-GB"/>
              </w:rPr>
            </w:pPr>
            <w:r w:rsidRPr="00502F34">
              <w:rPr>
                <w:rFonts w:ascii="Calibri" w:eastAsia="Times New Roman" w:hAnsi="Calibri" w:cs="Calibri"/>
                <w:color w:val="000000"/>
                <w:sz w:val="22"/>
                <w:szCs w:val="22"/>
                <w:lang w:eastAsia="en-GB"/>
              </w:rPr>
              <w:t>Middle Frontal Gyrus</w:t>
            </w:r>
          </w:p>
        </w:tc>
        <w:tc>
          <w:tcPr>
            <w:tcW w:w="473" w:type="dxa"/>
            <w:tcBorders>
              <w:top w:val="nil"/>
              <w:left w:val="nil"/>
              <w:bottom w:val="single" w:sz="4" w:space="0" w:color="auto"/>
              <w:right w:val="single" w:sz="4" w:space="0" w:color="auto"/>
            </w:tcBorders>
            <w:shd w:val="clear" w:color="auto" w:fill="auto"/>
            <w:noWrap/>
            <w:vAlign w:val="bottom"/>
            <w:hideMark/>
          </w:tcPr>
          <w:p w14:paraId="7B29C2DD" w14:textId="77777777" w:rsidR="00502F34" w:rsidRPr="00502F34" w:rsidRDefault="00502F34" w:rsidP="00502F34">
            <w:pPr>
              <w:jc w:val="center"/>
              <w:rPr>
                <w:rFonts w:ascii="Calibri" w:eastAsia="Times New Roman" w:hAnsi="Calibri" w:cs="Calibri"/>
                <w:sz w:val="22"/>
                <w:szCs w:val="22"/>
                <w:lang w:eastAsia="en-GB"/>
              </w:rPr>
            </w:pPr>
            <w:r w:rsidRPr="00502F34">
              <w:rPr>
                <w:rFonts w:ascii="Calibri" w:eastAsia="Times New Roman" w:hAnsi="Calibri" w:cs="Calibri"/>
                <w:sz w:val="22"/>
                <w:szCs w:val="22"/>
                <w:lang w:eastAsia="en-GB"/>
              </w:rPr>
              <w:t>9</w:t>
            </w:r>
          </w:p>
        </w:tc>
      </w:tr>
    </w:tbl>
    <w:p w14:paraId="34961D46" w14:textId="77777777" w:rsidR="00101744" w:rsidRPr="00101744" w:rsidRDefault="00101744" w:rsidP="00101744">
      <w:pPr>
        <w:spacing w:line="480" w:lineRule="auto"/>
        <w:rPr>
          <w:rFonts w:ascii="Arial" w:eastAsia="Calibri" w:hAnsi="Arial" w:cs="Arial"/>
          <w:b/>
          <w:color w:val="000000"/>
          <w:sz w:val="20"/>
          <w:szCs w:val="20"/>
          <w:lang w:val="en-US"/>
        </w:rPr>
      </w:pPr>
    </w:p>
    <w:p w14:paraId="4B43D5D6" w14:textId="77777777" w:rsidR="00101744" w:rsidRDefault="00101744"/>
    <w:sectPr w:rsidR="00101744" w:rsidSect="0010174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90B60"/>
    <w:multiLevelType w:val="multilevel"/>
    <w:tmpl w:val="0BF29CB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9AF73FA"/>
    <w:multiLevelType w:val="hybridMultilevel"/>
    <w:tmpl w:val="5FA0173A"/>
    <w:lvl w:ilvl="0" w:tplc="6B484618">
      <w:start w:val="19"/>
      <w:numFmt w:val="bullet"/>
      <w:lvlText w:val=""/>
      <w:lvlJc w:val="left"/>
      <w:pPr>
        <w:ind w:left="720" w:hanging="360"/>
      </w:pPr>
      <w:rPr>
        <w:rFonts w:ascii="Symbol" w:eastAsia="Times New Roman" w:hAnsi="Symbo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DF62B2B"/>
    <w:multiLevelType w:val="hybridMultilevel"/>
    <w:tmpl w:val="8E560D52"/>
    <w:lvl w:ilvl="0" w:tplc="801667AC">
      <w:start w:val="1"/>
      <w:numFmt w:val="decimal"/>
      <w:lvlText w:val="%1-"/>
      <w:lvlJc w:val="left"/>
      <w:pPr>
        <w:ind w:left="785"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337B21F7"/>
    <w:multiLevelType w:val="multilevel"/>
    <w:tmpl w:val="92122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9E2984"/>
    <w:multiLevelType w:val="multilevel"/>
    <w:tmpl w:val="C9182ABE"/>
    <w:lvl w:ilvl="0">
      <w:start w:val="3"/>
      <w:numFmt w:val="decimal"/>
      <w:lvlText w:val="%1."/>
      <w:lvlJc w:val="left"/>
      <w:pPr>
        <w:ind w:left="384" w:hanging="384"/>
      </w:pPr>
      <w:rPr>
        <w:rFonts w:eastAsiaTheme="minorHAnsi" w:hint="default"/>
      </w:rPr>
    </w:lvl>
    <w:lvl w:ilvl="1">
      <w:start w:val="2"/>
      <w:numFmt w:val="decimal"/>
      <w:lvlText w:val="%1.%2-"/>
      <w:lvlJc w:val="left"/>
      <w:pPr>
        <w:ind w:left="1146" w:hanging="720"/>
      </w:pPr>
      <w:rPr>
        <w:rFonts w:eastAsiaTheme="minorHAnsi" w:hint="default"/>
      </w:rPr>
    </w:lvl>
    <w:lvl w:ilvl="2">
      <w:start w:val="1"/>
      <w:numFmt w:val="decimal"/>
      <w:lvlText w:val="%1.%2-%3."/>
      <w:lvlJc w:val="left"/>
      <w:pPr>
        <w:ind w:left="1570" w:hanging="720"/>
      </w:pPr>
      <w:rPr>
        <w:rFonts w:eastAsiaTheme="minorHAnsi" w:hint="default"/>
      </w:rPr>
    </w:lvl>
    <w:lvl w:ilvl="3">
      <w:start w:val="1"/>
      <w:numFmt w:val="decimal"/>
      <w:lvlText w:val="%1.%2-%3.%4."/>
      <w:lvlJc w:val="left"/>
      <w:pPr>
        <w:ind w:left="2355" w:hanging="1080"/>
      </w:pPr>
      <w:rPr>
        <w:rFonts w:eastAsiaTheme="minorHAnsi" w:hint="default"/>
      </w:rPr>
    </w:lvl>
    <w:lvl w:ilvl="4">
      <w:start w:val="1"/>
      <w:numFmt w:val="decimal"/>
      <w:lvlText w:val="%1.%2-%3.%4.%5."/>
      <w:lvlJc w:val="left"/>
      <w:pPr>
        <w:ind w:left="2780" w:hanging="1080"/>
      </w:pPr>
      <w:rPr>
        <w:rFonts w:eastAsiaTheme="minorHAnsi" w:hint="default"/>
      </w:rPr>
    </w:lvl>
    <w:lvl w:ilvl="5">
      <w:start w:val="1"/>
      <w:numFmt w:val="decimal"/>
      <w:lvlText w:val="%1.%2-%3.%4.%5.%6."/>
      <w:lvlJc w:val="left"/>
      <w:pPr>
        <w:ind w:left="3565" w:hanging="1440"/>
      </w:pPr>
      <w:rPr>
        <w:rFonts w:eastAsiaTheme="minorHAnsi" w:hint="default"/>
      </w:rPr>
    </w:lvl>
    <w:lvl w:ilvl="6">
      <w:start w:val="1"/>
      <w:numFmt w:val="decimal"/>
      <w:lvlText w:val="%1.%2-%3.%4.%5.%6.%7."/>
      <w:lvlJc w:val="left"/>
      <w:pPr>
        <w:ind w:left="3990" w:hanging="1440"/>
      </w:pPr>
      <w:rPr>
        <w:rFonts w:eastAsiaTheme="minorHAnsi" w:hint="default"/>
      </w:rPr>
    </w:lvl>
    <w:lvl w:ilvl="7">
      <w:start w:val="1"/>
      <w:numFmt w:val="decimal"/>
      <w:lvlText w:val="%1.%2-%3.%4.%5.%6.%7.%8."/>
      <w:lvlJc w:val="left"/>
      <w:pPr>
        <w:ind w:left="4775" w:hanging="1800"/>
      </w:pPr>
      <w:rPr>
        <w:rFonts w:eastAsiaTheme="minorHAnsi" w:hint="default"/>
      </w:rPr>
    </w:lvl>
    <w:lvl w:ilvl="8">
      <w:start w:val="1"/>
      <w:numFmt w:val="decimal"/>
      <w:lvlText w:val="%1.%2-%3.%4.%5.%6.%7.%8.%9."/>
      <w:lvlJc w:val="left"/>
      <w:pPr>
        <w:ind w:left="5200" w:hanging="1800"/>
      </w:pPr>
      <w:rPr>
        <w:rFonts w:eastAsiaTheme="minorHAnsi" w:hint="default"/>
      </w:rPr>
    </w:lvl>
  </w:abstractNum>
  <w:abstractNum w:abstractNumId="5" w15:restartNumberingAfterBreak="0">
    <w:nsid w:val="42876BBE"/>
    <w:multiLevelType w:val="hybridMultilevel"/>
    <w:tmpl w:val="372E2B02"/>
    <w:lvl w:ilvl="0" w:tplc="44AA951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EC3BE5"/>
    <w:multiLevelType w:val="multilevel"/>
    <w:tmpl w:val="050ABB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2F8403A"/>
    <w:multiLevelType w:val="multilevel"/>
    <w:tmpl w:val="823CD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7232A5"/>
    <w:multiLevelType w:val="multilevel"/>
    <w:tmpl w:val="2954E422"/>
    <w:lvl w:ilvl="0">
      <w:start w:val="2"/>
      <w:numFmt w:val="decimal"/>
      <w:lvlText w:val="%1."/>
      <w:lvlJc w:val="left"/>
      <w:pPr>
        <w:ind w:left="384" w:hanging="384"/>
      </w:pPr>
      <w:rPr>
        <w:rFonts w:eastAsiaTheme="minorHAnsi" w:hint="default"/>
      </w:rPr>
    </w:lvl>
    <w:lvl w:ilvl="1">
      <w:start w:val="1"/>
      <w:numFmt w:val="decimal"/>
      <w:lvlText w:val="%1.%2-"/>
      <w:lvlJc w:val="left"/>
      <w:pPr>
        <w:ind w:left="1146" w:hanging="720"/>
      </w:pPr>
      <w:rPr>
        <w:rFonts w:eastAsiaTheme="minorHAnsi" w:hint="default"/>
      </w:rPr>
    </w:lvl>
    <w:lvl w:ilvl="2">
      <w:start w:val="1"/>
      <w:numFmt w:val="decimal"/>
      <w:lvlText w:val="%1.%2-%3."/>
      <w:lvlJc w:val="left"/>
      <w:pPr>
        <w:ind w:left="1572" w:hanging="720"/>
      </w:pPr>
      <w:rPr>
        <w:rFonts w:eastAsiaTheme="minorHAnsi" w:hint="default"/>
      </w:rPr>
    </w:lvl>
    <w:lvl w:ilvl="3">
      <w:start w:val="1"/>
      <w:numFmt w:val="decimal"/>
      <w:lvlText w:val="%1.%2-%3.%4."/>
      <w:lvlJc w:val="left"/>
      <w:pPr>
        <w:ind w:left="2358" w:hanging="1080"/>
      </w:pPr>
      <w:rPr>
        <w:rFonts w:eastAsiaTheme="minorHAnsi" w:hint="default"/>
      </w:rPr>
    </w:lvl>
    <w:lvl w:ilvl="4">
      <w:start w:val="1"/>
      <w:numFmt w:val="decimal"/>
      <w:lvlText w:val="%1.%2-%3.%4.%5."/>
      <w:lvlJc w:val="left"/>
      <w:pPr>
        <w:ind w:left="2784" w:hanging="1080"/>
      </w:pPr>
      <w:rPr>
        <w:rFonts w:eastAsiaTheme="minorHAnsi" w:hint="default"/>
      </w:rPr>
    </w:lvl>
    <w:lvl w:ilvl="5">
      <w:start w:val="1"/>
      <w:numFmt w:val="decimal"/>
      <w:lvlText w:val="%1.%2-%3.%4.%5.%6."/>
      <w:lvlJc w:val="left"/>
      <w:pPr>
        <w:ind w:left="3570" w:hanging="1440"/>
      </w:pPr>
      <w:rPr>
        <w:rFonts w:eastAsiaTheme="minorHAnsi" w:hint="default"/>
      </w:rPr>
    </w:lvl>
    <w:lvl w:ilvl="6">
      <w:start w:val="1"/>
      <w:numFmt w:val="decimal"/>
      <w:lvlText w:val="%1.%2-%3.%4.%5.%6.%7."/>
      <w:lvlJc w:val="left"/>
      <w:pPr>
        <w:ind w:left="3996" w:hanging="1440"/>
      </w:pPr>
      <w:rPr>
        <w:rFonts w:eastAsiaTheme="minorHAnsi" w:hint="default"/>
      </w:rPr>
    </w:lvl>
    <w:lvl w:ilvl="7">
      <w:start w:val="1"/>
      <w:numFmt w:val="decimal"/>
      <w:lvlText w:val="%1.%2-%3.%4.%5.%6.%7.%8."/>
      <w:lvlJc w:val="left"/>
      <w:pPr>
        <w:ind w:left="4782" w:hanging="1800"/>
      </w:pPr>
      <w:rPr>
        <w:rFonts w:eastAsiaTheme="minorHAnsi" w:hint="default"/>
      </w:rPr>
    </w:lvl>
    <w:lvl w:ilvl="8">
      <w:start w:val="1"/>
      <w:numFmt w:val="decimal"/>
      <w:lvlText w:val="%1.%2-%3.%4.%5.%6.%7.%8.%9."/>
      <w:lvlJc w:val="left"/>
      <w:pPr>
        <w:ind w:left="5208" w:hanging="1800"/>
      </w:pPr>
      <w:rPr>
        <w:rFonts w:eastAsiaTheme="minorHAnsi" w:hint="default"/>
      </w:rPr>
    </w:lvl>
  </w:abstractNum>
  <w:abstractNum w:abstractNumId="9" w15:restartNumberingAfterBreak="0">
    <w:nsid w:val="594D3B01"/>
    <w:multiLevelType w:val="multilevel"/>
    <w:tmpl w:val="8F2CF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C0208CF"/>
    <w:multiLevelType w:val="multilevel"/>
    <w:tmpl w:val="2E5E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FA7F17"/>
    <w:multiLevelType w:val="multilevel"/>
    <w:tmpl w:val="EBD86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ACA1734"/>
    <w:multiLevelType w:val="hybridMultilevel"/>
    <w:tmpl w:val="BDC241C8"/>
    <w:lvl w:ilvl="0" w:tplc="F474894C">
      <w:start w:val="1"/>
      <w:numFmt w:val="bullet"/>
      <w:lvlText w:val="•"/>
      <w:lvlJc w:val="left"/>
      <w:pPr>
        <w:tabs>
          <w:tab w:val="num" w:pos="720"/>
        </w:tabs>
        <w:ind w:left="720" w:hanging="360"/>
      </w:pPr>
      <w:rPr>
        <w:rFonts w:ascii="Arial" w:hAnsi="Arial" w:hint="default"/>
      </w:rPr>
    </w:lvl>
    <w:lvl w:ilvl="1" w:tplc="92182C7E" w:tentative="1">
      <w:start w:val="1"/>
      <w:numFmt w:val="bullet"/>
      <w:lvlText w:val="•"/>
      <w:lvlJc w:val="left"/>
      <w:pPr>
        <w:tabs>
          <w:tab w:val="num" w:pos="1440"/>
        </w:tabs>
        <w:ind w:left="1440" w:hanging="360"/>
      </w:pPr>
      <w:rPr>
        <w:rFonts w:ascii="Arial" w:hAnsi="Arial" w:hint="default"/>
      </w:rPr>
    </w:lvl>
    <w:lvl w:ilvl="2" w:tplc="55CE1066" w:tentative="1">
      <w:start w:val="1"/>
      <w:numFmt w:val="bullet"/>
      <w:lvlText w:val="•"/>
      <w:lvlJc w:val="left"/>
      <w:pPr>
        <w:tabs>
          <w:tab w:val="num" w:pos="2160"/>
        </w:tabs>
        <w:ind w:left="2160" w:hanging="360"/>
      </w:pPr>
      <w:rPr>
        <w:rFonts w:ascii="Arial" w:hAnsi="Arial" w:hint="default"/>
      </w:rPr>
    </w:lvl>
    <w:lvl w:ilvl="3" w:tplc="564C1B4C" w:tentative="1">
      <w:start w:val="1"/>
      <w:numFmt w:val="bullet"/>
      <w:lvlText w:val="•"/>
      <w:lvlJc w:val="left"/>
      <w:pPr>
        <w:tabs>
          <w:tab w:val="num" w:pos="2880"/>
        </w:tabs>
        <w:ind w:left="2880" w:hanging="360"/>
      </w:pPr>
      <w:rPr>
        <w:rFonts w:ascii="Arial" w:hAnsi="Arial" w:hint="default"/>
      </w:rPr>
    </w:lvl>
    <w:lvl w:ilvl="4" w:tplc="B7EEC4AE" w:tentative="1">
      <w:start w:val="1"/>
      <w:numFmt w:val="bullet"/>
      <w:lvlText w:val="•"/>
      <w:lvlJc w:val="left"/>
      <w:pPr>
        <w:tabs>
          <w:tab w:val="num" w:pos="3600"/>
        </w:tabs>
        <w:ind w:left="3600" w:hanging="360"/>
      </w:pPr>
      <w:rPr>
        <w:rFonts w:ascii="Arial" w:hAnsi="Arial" w:hint="default"/>
      </w:rPr>
    </w:lvl>
    <w:lvl w:ilvl="5" w:tplc="C2C827F6" w:tentative="1">
      <w:start w:val="1"/>
      <w:numFmt w:val="bullet"/>
      <w:lvlText w:val="•"/>
      <w:lvlJc w:val="left"/>
      <w:pPr>
        <w:tabs>
          <w:tab w:val="num" w:pos="4320"/>
        </w:tabs>
        <w:ind w:left="4320" w:hanging="360"/>
      </w:pPr>
      <w:rPr>
        <w:rFonts w:ascii="Arial" w:hAnsi="Arial" w:hint="default"/>
      </w:rPr>
    </w:lvl>
    <w:lvl w:ilvl="6" w:tplc="4DE26BF8" w:tentative="1">
      <w:start w:val="1"/>
      <w:numFmt w:val="bullet"/>
      <w:lvlText w:val="•"/>
      <w:lvlJc w:val="left"/>
      <w:pPr>
        <w:tabs>
          <w:tab w:val="num" w:pos="5040"/>
        </w:tabs>
        <w:ind w:left="5040" w:hanging="360"/>
      </w:pPr>
      <w:rPr>
        <w:rFonts w:ascii="Arial" w:hAnsi="Arial" w:hint="default"/>
      </w:rPr>
    </w:lvl>
    <w:lvl w:ilvl="7" w:tplc="7FCE94DA" w:tentative="1">
      <w:start w:val="1"/>
      <w:numFmt w:val="bullet"/>
      <w:lvlText w:val="•"/>
      <w:lvlJc w:val="left"/>
      <w:pPr>
        <w:tabs>
          <w:tab w:val="num" w:pos="5760"/>
        </w:tabs>
        <w:ind w:left="5760" w:hanging="360"/>
      </w:pPr>
      <w:rPr>
        <w:rFonts w:ascii="Arial" w:hAnsi="Arial" w:hint="default"/>
      </w:rPr>
    </w:lvl>
    <w:lvl w:ilvl="8" w:tplc="F52E9C9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9"/>
  </w:num>
  <w:num w:numId="3">
    <w:abstractNumId w:val="10"/>
  </w:num>
  <w:num w:numId="4">
    <w:abstractNumId w:val="2"/>
  </w:num>
  <w:num w:numId="5">
    <w:abstractNumId w:val="6"/>
  </w:num>
  <w:num w:numId="6">
    <w:abstractNumId w:val="4"/>
  </w:num>
  <w:num w:numId="7">
    <w:abstractNumId w:val="0"/>
  </w:num>
  <w:num w:numId="8">
    <w:abstractNumId w:val="11"/>
  </w:num>
  <w:num w:numId="9">
    <w:abstractNumId w:val="3"/>
  </w:num>
  <w:num w:numId="10">
    <w:abstractNumId w:val="12"/>
  </w:num>
  <w:num w:numId="11">
    <w:abstractNumId w:val="8"/>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744"/>
    <w:rsid w:val="00101744"/>
    <w:rsid w:val="00272F70"/>
    <w:rsid w:val="003919C6"/>
    <w:rsid w:val="003D1F45"/>
    <w:rsid w:val="004D2967"/>
    <w:rsid w:val="00502F34"/>
    <w:rsid w:val="00527C9F"/>
    <w:rsid w:val="0089068C"/>
    <w:rsid w:val="00C140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1AF1F"/>
  <w15:chartTrackingRefBased/>
  <w15:docId w15:val="{A63CE674-D7DC-CA4E-932B-6023A489B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101744"/>
    <w:pPr>
      <w:spacing w:before="100" w:beforeAutospacing="1" w:after="100" w:afterAutospacing="1"/>
      <w:outlineLvl w:val="0"/>
    </w:pPr>
    <w:rPr>
      <w:rFonts w:ascii="Times New Roman" w:eastAsia="Times New Roman" w:hAnsi="Times New Roman" w:cs="Times New Roman"/>
      <w:b/>
      <w:bCs/>
      <w:kern w:val="36"/>
      <w:sz w:val="48"/>
      <w:szCs w:val="48"/>
      <w:lang w:val="pt-PT" w:eastAsia="pt-PT"/>
    </w:rPr>
  </w:style>
  <w:style w:type="paragraph" w:styleId="Heading3">
    <w:name w:val="heading 3"/>
    <w:basedOn w:val="Normal"/>
    <w:next w:val="Normal"/>
    <w:link w:val="Heading3Char"/>
    <w:uiPriority w:val="9"/>
    <w:semiHidden/>
    <w:unhideWhenUsed/>
    <w:qFormat/>
    <w:rsid w:val="00101744"/>
    <w:pPr>
      <w:keepNext/>
      <w:keepLines/>
      <w:spacing w:before="40"/>
      <w:outlineLvl w:val="2"/>
    </w:pPr>
    <w:rPr>
      <w:rFonts w:ascii="Calibri Light" w:eastAsia="Yu Gothic Light" w:hAnsi="Calibri Light" w:cs="Times New Roman"/>
      <w:color w:val="1F4D78"/>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1744"/>
    <w:rPr>
      <w:rFonts w:ascii="Times New Roman" w:eastAsia="Times New Roman" w:hAnsi="Times New Roman" w:cs="Times New Roman"/>
      <w:b/>
      <w:bCs/>
      <w:kern w:val="36"/>
      <w:sz w:val="48"/>
      <w:szCs w:val="48"/>
      <w:lang w:val="pt-PT" w:eastAsia="pt-PT"/>
    </w:rPr>
  </w:style>
  <w:style w:type="paragraph" w:customStyle="1" w:styleId="Heading31">
    <w:name w:val="Heading 31"/>
    <w:basedOn w:val="Normal"/>
    <w:next w:val="Normal"/>
    <w:uiPriority w:val="9"/>
    <w:semiHidden/>
    <w:unhideWhenUsed/>
    <w:qFormat/>
    <w:rsid w:val="00101744"/>
    <w:pPr>
      <w:keepNext/>
      <w:keepLines/>
      <w:spacing w:before="40"/>
      <w:outlineLvl w:val="2"/>
    </w:pPr>
    <w:rPr>
      <w:rFonts w:ascii="Calibri Light" w:eastAsia="Yu Gothic Light" w:hAnsi="Calibri Light" w:cs="Times New Roman"/>
      <w:color w:val="1F4D78"/>
      <w:lang w:val="en-US"/>
    </w:rPr>
  </w:style>
  <w:style w:type="numbering" w:customStyle="1" w:styleId="NoList1">
    <w:name w:val="No List1"/>
    <w:next w:val="NoList"/>
    <w:uiPriority w:val="99"/>
    <w:semiHidden/>
    <w:unhideWhenUsed/>
    <w:rsid w:val="00101744"/>
  </w:style>
  <w:style w:type="character" w:styleId="CommentReference">
    <w:name w:val="annotation reference"/>
    <w:basedOn w:val="DefaultParagraphFont"/>
    <w:uiPriority w:val="99"/>
    <w:semiHidden/>
    <w:unhideWhenUsed/>
    <w:rsid w:val="00101744"/>
    <w:rPr>
      <w:sz w:val="16"/>
      <w:szCs w:val="16"/>
    </w:rPr>
  </w:style>
  <w:style w:type="paragraph" w:styleId="CommentText">
    <w:name w:val="annotation text"/>
    <w:basedOn w:val="Normal"/>
    <w:link w:val="CommentTextChar"/>
    <w:uiPriority w:val="99"/>
    <w:unhideWhenUsed/>
    <w:rsid w:val="00101744"/>
    <w:pPr>
      <w:widowControl w:val="0"/>
      <w:adjustRightInd w:val="0"/>
      <w:spacing w:after="160"/>
      <w:jc w:val="both"/>
      <w:textAlignment w:val="baseline"/>
    </w:pPr>
    <w:rPr>
      <w:rFonts w:ascii="Times New Roman" w:eastAsia="Times New Roman" w:hAnsi="Times New Roman" w:cs="Times New Roman"/>
      <w:sz w:val="20"/>
      <w:szCs w:val="20"/>
      <w:lang w:val="pt-PT" w:eastAsia="zh-TW"/>
    </w:rPr>
  </w:style>
  <w:style w:type="character" w:customStyle="1" w:styleId="CommentTextChar">
    <w:name w:val="Comment Text Char"/>
    <w:basedOn w:val="DefaultParagraphFont"/>
    <w:link w:val="CommentText"/>
    <w:uiPriority w:val="99"/>
    <w:rsid w:val="00101744"/>
    <w:rPr>
      <w:rFonts w:ascii="Times New Roman" w:eastAsia="Times New Roman" w:hAnsi="Times New Roman" w:cs="Times New Roman"/>
      <w:sz w:val="20"/>
      <w:szCs w:val="20"/>
      <w:lang w:val="pt-PT" w:eastAsia="zh-TW"/>
    </w:rPr>
  </w:style>
  <w:style w:type="paragraph" w:styleId="CommentSubject">
    <w:name w:val="annotation subject"/>
    <w:basedOn w:val="CommentText"/>
    <w:next w:val="CommentText"/>
    <w:link w:val="CommentSubjectChar"/>
    <w:uiPriority w:val="99"/>
    <w:semiHidden/>
    <w:unhideWhenUsed/>
    <w:rsid w:val="00101744"/>
    <w:rPr>
      <w:b/>
      <w:bCs/>
    </w:rPr>
  </w:style>
  <w:style w:type="character" w:customStyle="1" w:styleId="CommentSubjectChar">
    <w:name w:val="Comment Subject Char"/>
    <w:basedOn w:val="CommentTextChar"/>
    <w:link w:val="CommentSubject"/>
    <w:uiPriority w:val="99"/>
    <w:semiHidden/>
    <w:rsid w:val="00101744"/>
    <w:rPr>
      <w:rFonts w:ascii="Times New Roman" w:eastAsia="Times New Roman" w:hAnsi="Times New Roman" w:cs="Times New Roman"/>
      <w:b/>
      <w:bCs/>
      <w:sz w:val="20"/>
      <w:szCs w:val="20"/>
      <w:lang w:val="pt-PT" w:eastAsia="zh-TW"/>
    </w:rPr>
  </w:style>
  <w:style w:type="paragraph" w:styleId="BalloonText">
    <w:name w:val="Balloon Text"/>
    <w:basedOn w:val="Normal"/>
    <w:link w:val="BalloonTextChar"/>
    <w:uiPriority w:val="99"/>
    <w:semiHidden/>
    <w:unhideWhenUsed/>
    <w:rsid w:val="00101744"/>
    <w:pPr>
      <w:widowControl w:val="0"/>
      <w:adjustRightInd w:val="0"/>
      <w:jc w:val="both"/>
      <w:textAlignment w:val="baseline"/>
    </w:pPr>
    <w:rPr>
      <w:rFonts w:ascii="Segoe UI" w:eastAsia="Times New Roman" w:hAnsi="Segoe UI" w:cs="Segoe UI"/>
      <w:sz w:val="18"/>
      <w:szCs w:val="18"/>
      <w:lang w:val="pt-PT" w:eastAsia="zh-TW"/>
    </w:rPr>
  </w:style>
  <w:style w:type="character" w:customStyle="1" w:styleId="BalloonTextChar">
    <w:name w:val="Balloon Text Char"/>
    <w:basedOn w:val="DefaultParagraphFont"/>
    <w:link w:val="BalloonText"/>
    <w:uiPriority w:val="99"/>
    <w:semiHidden/>
    <w:rsid w:val="00101744"/>
    <w:rPr>
      <w:rFonts w:ascii="Segoe UI" w:eastAsia="Times New Roman" w:hAnsi="Segoe UI" w:cs="Segoe UI"/>
      <w:sz w:val="18"/>
      <w:szCs w:val="18"/>
      <w:lang w:val="pt-PT" w:eastAsia="zh-TW"/>
    </w:rPr>
  </w:style>
  <w:style w:type="character" w:customStyle="1" w:styleId="Hyperlink1">
    <w:name w:val="Hyperlink1"/>
    <w:basedOn w:val="DefaultParagraphFont"/>
    <w:uiPriority w:val="99"/>
    <w:unhideWhenUsed/>
    <w:rsid w:val="00101744"/>
    <w:rPr>
      <w:color w:val="0563C1"/>
      <w:u w:val="single"/>
    </w:rPr>
  </w:style>
  <w:style w:type="paragraph" w:customStyle="1" w:styleId="Caption1">
    <w:name w:val="Caption1"/>
    <w:basedOn w:val="Normal"/>
    <w:next w:val="Normal"/>
    <w:uiPriority w:val="35"/>
    <w:unhideWhenUsed/>
    <w:qFormat/>
    <w:rsid w:val="00101744"/>
    <w:pPr>
      <w:widowControl w:val="0"/>
      <w:adjustRightInd w:val="0"/>
      <w:spacing w:after="200"/>
      <w:jc w:val="both"/>
      <w:textAlignment w:val="baseline"/>
    </w:pPr>
    <w:rPr>
      <w:rFonts w:ascii="Times New Roman" w:eastAsia="Times New Roman" w:hAnsi="Times New Roman" w:cs="Times New Roman"/>
      <w:i/>
      <w:iCs/>
      <w:color w:val="44546A"/>
      <w:sz w:val="18"/>
      <w:szCs w:val="18"/>
      <w:lang w:val="pt-PT" w:eastAsia="zh-TW"/>
    </w:rPr>
  </w:style>
  <w:style w:type="paragraph" w:styleId="ListParagraph">
    <w:name w:val="List Paragraph"/>
    <w:basedOn w:val="Normal"/>
    <w:uiPriority w:val="34"/>
    <w:qFormat/>
    <w:rsid w:val="00101744"/>
    <w:pPr>
      <w:widowControl w:val="0"/>
      <w:adjustRightInd w:val="0"/>
      <w:spacing w:after="160" w:line="259" w:lineRule="auto"/>
      <w:ind w:left="720"/>
      <w:contextualSpacing/>
      <w:jc w:val="both"/>
      <w:textAlignment w:val="baseline"/>
    </w:pPr>
    <w:rPr>
      <w:rFonts w:ascii="Times New Roman" w:eastAsia="Times New Roman" w:hAnsi="Times New Roman" w:cs="Times New Roman"/>
      <w:sz w:val="22"/>
      <w:szCs w:val="22"/>
      <w:lang w:val="pt-PT" w:eastAsia="zh-TW"/>
    </w:rPr>
  </w:style>
  <w:style w:type="character" w:customStyle="1" w:styleId="figpopup-sensitive-area">
    <w:name w:val="figpopup-sensitive-area"/>
    <w:basedOn w:val="DefaultParagraphFont"/>
    <w:rsid w:val="00101744"/>
  </w:style>
  <w:style w:type="character" w:customStyle="1" w:styleId="mixed-citation">
    <w:name w:val="mixed-citation"/>
    <w:basedOn w:val="DefaultParagraphFont"/>
    <w:rsid w:val="00101744"/>
  </w:style>
  <w:style w:type="character" w:customStyle="1" w:styleId="ref-journal">
    <w:name w:val="ref-journal"/>
    <w:basedOn w:val="DefaultParagraphFont"/>
    <w:rsid w:val="00101744"/>
  </w:style>
  <w:style w:type="character" w:customStyle="1" w:styleId="ref-vol">
    <w:name w:val="ref-vol"/>
    <w:basedOn w:val="DefaultParagraphFont"/>
    <w:rsid w:val="00101744"/>
  </w:style>
  <w:style w:type="character" w:customStyle="1" w:styleId="nowrap">
    <w:name w:val="nowrap"/>
    <w:basedOn w:val="DefaultParagraphFont"/>
    <w:rsid w:val="00101744"/>
  </w:style>
  <w:style w:type="table" w:styleId="TableGrid">
    <w:name w:val="Table Grid"/>
    <w:basedOn w:val="TableNormal"/>
    <w:uiPriority w:val="39"/>
    <w:rsid w:val="00101744"/>
    <w:rPr>
      <w:rFonts w:eastAsia="PMingLiU"/>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101744"/>
    <w:rPr>
      <w:color w:val="954F72"/>
      <w:u w:val="single"/>
    </w:rPr>
  </w:style>
  <w:style w:type="paragraph" w:styleId="Revision">
    <w:name w:val="Revision"/>
    <w:hidden/>
    <w:uiPriority w:val="99"/>
    <w:semiHidden/>
    <w:rsid w:val="00101744"/>
    <w:rPr>
      <w:rFonts w:ascii="Times New Roman" w:eastAsia="Times New Roman" w:hAnsi="Times New Roman" w:cs="Times New Roman"/>
      <w:sz w:val="22"/>
      <w:szCs w:val="22"/>
      <w:lang w:val="pt-PT" w:eastAsia="zh-TW"/>
    </w:rPr>
  </w:style>
  <w:style w:type="paragraph" w:styleId="Header">
    <w:name w:val="header"/>
    <w:basedOn w:val="Normal"/>
    <w:link w:val="HeaderChar"/>
    <w:uiPriority w:val="99"/>
    <w:unhideWhenUsed/>
    <w:rsid w:val="00101744"/>
    <w:pPr>
      <w:widowControl w:val="0"/>
      <w:tabs>
        <w:tab w:val="center" w:pos="4252"/>
        <w:tab w:val="right" w:pos="8504"/>
      </w:tabs>
      <w:adjustRightInd w:val="0"/>
      <w:jc w:val="both"/>
      <w:textAlignment w:val="baseline"/>
    </w:pPr>
    <w:rPr>
      <w:rFonts w:ascii="Times New Roman" w:eastAsia="Times New Roman" w:hAnsi="Times New Roman" w:cs="Times New Roman"/>
      <w:sz w:val="22"/>
      <w:szCs w:val="22"/>
      <w:lang w:val="pt-PT" w:eastAsia="zh-TW"/>
    </w:rPr>
  </w:style>
  <w:style w:type="character" w:customStyle="1" w:styleId="HeaderChar">
    <w:name w:val="Header Char"/>
    <w:basedOn w:val="DefaultParagraphFont"/>
    <w:link w:val="Header"/>
    <w:uiPriority w:val="99"/>
    <w:rsid w:val="00101744"/>
    <w:rPr>
      <w:rFonts w:ascii="Times New Roman" w:eastAsia="Times New Roman" w:hAnsi="Times New Roman" w:cs="Times New Roman"/>
      <w:sz w:val="22"/>
      <w:szCs w:val="22"/>
      <w:lang w:val="pt-PT" w:eastAsia="zh-TW"/>
    </w:rPr>
  </w:style>
  <w:style w:type="paragraph" w:styleId="Footer">
    <w:name w:val="footer"/>
    <w:basedOn w:val="Normal"/>
    <w:link w:val="FooterChar"/>
    <w:uiPriority w:val="99"/>
    <w:unhideWhenUsed/>
    <w:rsid w:val="00101744"/>
    <w:pPr>
      <w:widowControl w:val="0"/>
      <w:tabs>
        <w:tab w:val="center" w:pos="4252"/>
        <w:tab w:val="right" w:pos="8504"/>
      </w:tabs>
      <w:adjustRightInd w:val="0"/>
      <w:jc w:val="both"/>
      <w:textAlignment w:val="baseline"/>
    </w:pPr>
    <w:rPr>
      <w:rFonts w:ascii="Times New Roman" w:eastAsia="Times New Roman" w:hAnsi="Times New Roman" w:cs="Times New Roman"/>
      <w:sz w:val="22"/>
      <w:szCs w:val="22"/>
      <w:lang w:val="pt-PT" w:eastAsia="zh-TW"/>
    </w:rPr>
  </w:style>
  <w:style w:type="character" w:customStyle="1" w:styleId="FooterChar">
    <w:name w:val="Footer Char"/>
    <w:basedOn w:val="DefaultParagraphFont"/>
    <w:link w:val="Footer"/>
    <w:uiPriority w:val="99"/>
    <w:rsid w:val="00101744"/>
    <w:rPr>
      <w:rFonts w:ascii="Times New Roman" w:eastAsia="Times New Roman" w:hAnsi="Times New Roman" w:cs="Times New Roman"/>
      <w:sz w:val="22"/>
      <w:szCs w:val="22"/>
      <w:lang w:val="pt-PT" w:eastAsia="zh-TW"/>
    </w:rPr>
  </w:style>
  <w:style w:type="character" w:styleId="LineNumber">
    <w:name w:val="line number"/>
    <w:basedOn w:val="DefaultParagraphFont"/>
    <w:uiPriority w:val="99"/>
    <w:semiHidden/>
    <w:unhideWhenUsed/>
    <w:rsid w:val="00101744"/>
  </w:style>
  <w:style w:type="character" w:customStyle="1" w:styleId="Heading3Char">
    <w:name w:val="Heading 3 Char"/>
    <w:basedOn w:val="DefaultParagraphFont"/>
    <w:link w:val="Heading3"/>
    <w:uiPriority w:val="9"/>
    <w:semiHidden/>
    <w:rsid w:val="00101744"/>
    <w:rPr>
      <w:rFonts w:ascii="Calibri Light" w:eastAsia="Yu Gothic Light" w:hAnsi="Calibri Light" w:cs="Times New Roman"/>
      <w:color w:val="1F4D78"/>
      <w:sz w:val="24"/>
      <w:szCs w:val="24"/>
      <w:lang w:eastAsia="zh-TW"/>
    </w:rPr>
  </w:style>
  <w:style w:type="character" w:styleId="Emphasis">
    <w:name w:val="Emphasis"/>
    <w:basedOn w:val="DefaultParagraphFont"/>
    <w:uiPriority w:val="20"/>
    <w:qFormat/>
    <w:rsid w:val="00101744"/>
    <w:rPr>
      <w:i/>
      <w:iCs/>
    </w:rPr>
  </w:style>
  <w:style w:type="character" w:customStyle="1" w:styleId="UnresolvedMention1">
    <w:name w:val="Unresolved Mention1"/>
    <w:basedOn w:val="DefaultParagraphFont"/>
    <w:uiPriority w:val="99"/>
    <w:semiHidden/>
    <w:unhideWhenUsed/>
    <w:rsid w:val="00101744"/>
    <w:rPr>
      <w:color w:val="605E5C"/>
      <w:shd w:val="clear" w:color="auto" w:fill="E1DFDD"/>
    </w:rPr>
  </w:style>
  <w:style w:type="paragraph" w:styleId="NormalWeb">
    <w:name w:val="Normal (Web)"/>
    <w:basedOn w:val="Normal"/>
    <w:uiPriority w:val="99"/>
    <w:semiHidden/>
    <w:unhideWhenUsed/>
    <w:rsid w:val="00101744"/>
    <w:pPr>
      <w:spacing w:before="100" w:beforeAutospacing="1" w:after="100" w:afterAutospacing="1"/>
    </w:pPr>
    <w:rPr>
      <w:rFonts w:ascii="Times New Roman" w:eastAsia="Times New Roman" w:hAnsi="Times New Roman" w:cs="Times New Roman"/>
      <w:lang w:val="en-US"/>
    </w:rPr>
  </w:style>
  <w:style w:type="paragraph" w:customStyle="1" w:styleId="SupplementaryMaterial">
    <w:name w:val="Supplementary Material"/>
    <w:basedOn w:val="Title"/>
    <w:next w:val="Title"/>
    <w:qFormat/>
    <w:rsid w:val="00101744"/>
    <w:pPr>
      <w:suppressLineNumbers/>
      <w:spacing w:before="240" w:after="120"/>
      <w:contextualSpacing w:val="0"/>
      <w:jc w:val="center"/>
    </w:pPr>
    <w:rPr>
      <w:rFonts w:ascii="Times New Roman" w:eastAsia="Calibri" w:hAnsi="Times New Roman" w:cs="Times New Roman"/>
      <w:b/>
      <w:i/>
      <w:spacing w:val="0"/>
      <w:kern w:val="0"/>
      <w:sz w:val="32"/>
      <w:szCs w:val="32"/>
      <w:lang w:val="en-US"/>
    </w:rPr>
  </w:style>
  <w:style w:type="paragraph" w:customStyle="1" w:styleId="Title1">
    <w:name w:val="Title1"/>
    <w:basedOn w:val="Normal"/>
    <w:next w:val="Normal"/>
    <w:link w:val="TitleChar"/>
    <w:uiPriority w:val="10"/>
    <w:qFormat/>
    <w:rsid w:val="00101744"/>
    <w:pPr>
      <w:widowControl w:val="0"/>
      <w:adjustRightInd w:val="0"/>
      <w:contextualSpacing/>
      <w:jc w:val="both"/>
      <w:textAlignment w:val="baseline"/>
    </w:pPr>
    <w:rPr>
      <w:rFonts w:ascii="Calibri Light" w:eastAsia="Yu Gothic Light" w:hAnsi="Calibri Light" w:cs="Times New Roman"/>
      <w:spacing w:val="-10"/>
      <w:kern w:val="28"/>
      <w:sz w:val="56"/>
      <w:szCs w:val="56"/>
      <w:lang w:eastAsia="zh-TW"/>
    </w:rPr>
  </w:style>
  <w:style w:type="character" w:customStyle="1" w:styleId="TitleChar">
    <w:name w:val="Title Char"/>
    <w:basedOn w:val="DefaultParagraphFont"/>
    <w:link w:val="Title1"/>
    <w:uiPriority w:val="10"/>
    <w:rsid w:val="00101744"/>
    <w:rPr>
      <w:rFonts w:ascii="Calibri Light" w:eastAsia="Yu Gothic Light" w:hAnsi="Calibri Light" w:cs="Times New Roman"/>
      <w:spacing w:val="-10"/>
      <w:kern w:val="28"/>
      <w:sz w:val="56"/>
      <w:szCs w:val="56"/>
      <w:lang w:eastAsia="zh-TW"/>
    </w:rPr>
  </w:style>
  <w:style w:type="character" w:styleId="Hyperlink">
    <w:name w:val="Hyperlink"/>
    <w:basedOn w:val="DefaultParagraphFont"/>
    <w:uiPriority w:val="99"/>
    <w:unhideWhenUsed/>
    <w:rsid w:val="00101744"/>
    <w:rPr>
      <w:color w:val="0563C1" w:themeColor="hyperlink"/>
      <w:u w:val="single"/>
    </w:rPr>
  </w:style>
  <w:style w:type="character" w:styleId="FollowedHyperlink">
    <w:name w:val="FollowedHyperlink"/>
    <w:basedOn w:val="DefaultParagraphFont"/>
    <w:uiPriority w:val="99"/>
    <w:semiHidden/>
    <w:unhideWhenUsed/>
    <w:rsid w:val="00101744"/>
    <w:rPr>
      <w:color w:val="954F72" w:themeColor="followedHyperlink"/>
      <w:u w:val="single"/>
    </w:rPr>
  </w:style>
  <w:style w:type="character" w:customStyle="1" w:styleId="Heading3Char1">
    <w:name w:val="Heading 3 Char1"/>
    <w:basedOn w:val="DefaultParagraphFont"/>
    <w:uiPriority w:val="9"/>
    <w:semiHidden/>
    <w:rsid w:val="00101744"/>
    <w:rPr>
      <w:rFonts w:asciiTheme="majorHAnsi" w:eastAsiaTheme="majorEastAsia" w:hAnsiTheme="majorHAnsi" w:cstheme="majorBidi"/>
      <w:color w:val="1F3763" w:themeColor="accent1" w:themeShade="7F"/>
    </w:rPr>
  </w:style>
  <w:style w:type="paragraph" w:styleId="Title">
    <w:name w:val="Title"/>
    <w:basedOn w:val="Normal"/>
    <w:next w:val="Normal"/>
    <w:link w:val="TitleChar1"/>
    <w:uiPriority w:val="10"/>
    <w:qFormat/>
    <w:rsid w:val="00101744"/>
    <w:pPr>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uiPriority w:val="10"/>
    <w:rsid w:val="00101744"/>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3D1F45"/>
    <w:pPr>
      <w:widowControl w:val="0"/>
      <w:adjustRightInd w:val="0"/>
      <w:spacing w:after="200"/>
      <w:jc w:val="both"/>
      <w:textAlignment w:val="baseline"/>
    </w:pPr>
    <w:rPr>
      <w:rFonts w:ascii="Times New Roman" w:eastAsia="Times New Roman" w:hAnsi="Times New Roman" w:cs="Times New Roman"/>
      <w:i/>
      <w:iCs/>
      <w:color w:val="44546A" w:themeColor="text2"/>
      <w:sz w:val="18"/>
      <w:szCs w:val="18"/>
      <w:lang w:val="pt-PT"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73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41DEC-3955-4278-A18B-E0610BA05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62099</Words>
  <Characters>353970</Characters>
  <Application>Microsoft Office Word</Application>
  <DocSecurity>0</DocSecurity>
  <Lines>2949</Lines>
  <Paragraphs>830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415239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Castelo-Branco</dc:creator>
  <cp:keywords/>
  <dc:description/>
  <cp:lastModifiedBy>MMARO</cp:lastModifiedBy>
  <cp:revision>2</cp:revision>
  <dcterms:created xsi:type="dcterms:W3CDTF">2021-07-17T15:45:00Z</dcterms:created>
  <dcterms:modified xsi:type="dcterms:W3CDTF">2021-07-17T15:45:00Z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http://www.zotero.org/styles/neural-plasticity</vt:lpwstr>
  </property>
  <property fmtid="{D5CDD505-2E9C-101B-9397-08002B2CF9AE}" pid="19" name="Mendeley Recent Style Name 8_1">
    <vt:lpwstr>Neural Plasticity</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Citation Style_1">
    <vt:lpwstr>http://www.zotero.org/styles/chicago-author-date</vt:lpwstr>
  </property>
  <property fmtid="{D5CDD505-2E9C-101B-9397-08002B2CF9AE}" pid="23" name="Mendeley Document_1">
    <vt:lpwstr>True</vt:lpwstr>
  </property>
  <property fmtid="{D5CDD505-2E9C-101B-9397-08002B2CF9AE}" pid="24" name="Mendeley Unique User Id_1">
    <vt:lpwstr>123e9ddc-dec3-3bf0-ad9f-c04b5f0a2636</vt:lpwstr>
  </property>
</Properties>
</file>